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9C5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河 南 省 推 动 消 费 品 以 旧 换 新</w:t>
      </w:r>
    </w:p>
    <w:p w14:paraId="1B7C28C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实 施 方 案</w:t>
      </w:r>
    </w:p>
    <w:p w14:paraId="651F077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C4AAAB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为深入贯彻党中央、国务院决策部署，按照《国务院关于印  发〈推动大规模设备更新和消费品以旧换新行动方案】的通知》《商务部等14部门关于印发〈推动消费品以旧换新行动方案》的通知》及《河南省推动大规模设备更新和消费品以旧换新实施方 案》有关要求，在全省开展汽车、家电以旧换新和家装厨卫“焕 新”,制定本实施方案。</w:t>
      </w:r>
    </w:p>
    <w:p w14:paraId="506208E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一、总体要求</w:t>
      </w:r>
    </w:p>
    <w:p w14:paraId="6DD96C6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顺应消费市场新趋势，以技术、能耗、排放等标准为牵引， 实施汽车以旧换新、家电以旧换新和家装厨卫“焕新”工程，中  央财政与地方政府联动，通过政府引导、企业让利、金融支持等 方式，畅通消费品更新换代链条，推动更多高质量耐用消费品进 入居民生活，更好满足人民群众美好生活需要。力争到2025年，报废汽车回收量较2023年增长50%,废旧 家电回收量较2023年增长15%;到2027年，报废汽车回收量较 2023年增加一倍，二手车交易量较2023年增长45%,废旧家电 回收量较2023年增长30%,二手车、废旧家电等再生资源回收 体系更加规范完善。</w:t>
      </w:r>
    </w:p>
    <w:p w14:paraId="74580EE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 、实施汽车以旧换新工程</w:t>
      </w:r>
    </w:p>
    <w:p w14:paraId="513B5A2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rPr>
        <w:t>—4—</w:t>
      </w:r>
    </w:p>
    <w:p w14:paraId="4D909B7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以支持汽车报废更新为重点，加快老旧汽车淘汰，鼓励 车置换和出口，全链条促进汽车以旧换新。</w:t>
      </w:r>
    </w:p>
    <w:p w14:paraId="54665ED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(一)汽车报废更新行动</w:t>
      </w:r>
    </w:p>
    <w:p w14:paraId="6023B6B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1.推动汽车报废更新。严格执行机动车报废标准规定石 辆安全环保检验标准要求，依法依规淘汰符合强制报废标准的 旧汽车。在充分尊重群众意愿的基础上，引导车主综合油耗、障率、维修成本、车辆残值以及更新补贴等情况，自主淘汰符 引导报废标准的老旧汽车。(省公安厅、生态环境厅、交通运  厅、商务厅等按职责分工负责；各省辖市政府、济源示范区和 空港区管委会均为责任单位，不再列示)</w:t>
      </w:r>
    </w:p>
    <w:p w14:paraId="3A372D4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2.强化政策支持引导。统筹使用中央和地方财政资金，落 实全国汽车报废更新政策，由    一通过全国汽车流通信息管理 系统网站或“汽车以旧换新”小程序提交补贴申请，各地按商务 部、财政部等7部门印发的《汽车以旧换新补贴实施细则》受理 审核，财政部门按国家相应政策标准和程序发放补贴。(省商务 厅、财政厅、税务局、公安厅等按职责分工负责)</w:t>
      </w:r>
    </w:p>
    <w:p w14:paraId="7FC7665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3.完善回收拆解体系。因地制宜优化报废机动车回收拆解 产业布局，引导企业提升回收服务水平，推广上门收车服务模 式。鼓励报废机动车回收拆解企业提高资源综合利用水平。规范  报废机动车回收拆解企业经营行为，依法查处非法拆解等违法活 动，有效防范安全环保风险。支持各地争取将资源循环利用重点  项目纳入中央预算内投资等支持范围。(省商务厅、生态环境厅、工业和信息化厅、交通运输厅、公安厅、财政厅等按职责分工负责)  </w:t>
      </w:r>
    </w:p>
    <w:p w14:paraId="75633E02">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(二)汽车置换更新行动</w:t>
      </w:r>
    </w:p>
    <w:p w14:paraId="04C4F04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4.鼓励二手车置换更新。鼓励有条件的通过“政府支持、企业让利”的方式支持汽车置换更新，对转让本人名下的乘 用车(取得有效的《二手车销售统一发票》)并购买新汽芽的消 费者给予补贴，具体补贴标准和方式由各地结合实际制定实施 (补贴标准原则不超过报废更新补贴金额),省财政根据各地工作 进展情况给予适当奖补。鼓励购习             各市县可根据实</w:t>
      </w:r>
    </w:p>
    <w:p w14:paraId="0153A32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rPr>
        <w:t>际加大对置换购买新能源乘用车的补贴力度。鼓励汽车生产企 业、销售企业开展二手车置换补贴和叠加优惠让利活动，与市县 财政补贴形成叠加效应。(省商务厅、财政厅等按职责分工负责)</w:t>
      </w:r>
    </w:p>
    <w:p w14:paraId="65E33CA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5.促进二手车放心便利交易。支持二手车销售由经纪转经  销，落实二手车销售“反向开票”、异地交易登记等便利化措施， 破除各类隐形障碍。推动新能源二手车动力电池检测和估值平台  建设，引导二手车经销企业提供并展示车辆状况表，明示车辆基 本信息、重要配置、价格等内容。( 省商务厅、公安厅、交通运  输厅、市场监管局、税务局等按职责分工负责)</w:t>
      </w:r>
    </w:p>
    <w:p w14:paraId="5CD837B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6.扩大二手车出口。落实二手车出口管理措施，提高二手 车出口质量，鼓励支持有条件的企业申报二手车出口资质。优化 二手车出口许可证办理、报关通关、车辆注销等流程，支持其提 升国际竞争力，持续拓展海外市场。鼓励有条件的市县对二手车出口业务给予奖励支持。(省商务厅、交通运输厅、郑州海关、 省公安厅等按职责分工负责)</w:t>
      </w:r>
    </w:p>
    <w:p w14:paraId="67584D6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(三)汽车流通消费创新行动</w:t>
      </w:r>
    </w:p>
    <w:p w14:paraId="5B63853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7.健全汽车消费配套措施。统筹省级相关专项资金，鼓励  各地出台支持政策，完善充电、停车、智慧交通等基础设施。积 极争取国家城市汽车流通消费改革试点，健全部门间信息共享机 制，推动建设汽车全生命周期信息交互系统。支持汽车改装、汽 车租赁、汽车赛事、房车露营、传统经典车等汽车后市场规范发 展，促进汽车从交通工具向生活空间转变。支持各地继续对辖内 新购汽车的消费者给予补贴。(省发展改革委、工业和信息化厅、 财政厅、自然资源厅、住房城乡建设厅、交通运输厅、商务厅、 体育局、机关事务管理局等按职责分工负责)</w:t>
      </w:r>
    </w:p>
    <w:p w14:paraId="4C3D8372">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黑体" w:hAnsi="黑体" w:eastAsia="黑体" w:cs="黑体"/>
          <w:sz w:val="32"/>
          <w:szCs w:val="32"/>
        </w:rPr>
      </w:pPr>
      <w:r>
        <w:rPr>
          <w:rFonts w:hint="eastAsia" w:ascii="黑体" w:hAnsi="黑体" w:eastAsia="黑体" w:cs="黑体"/>
          <w:sz w:val="32"/>
          <w:szCs w:val="32"/>
        </w:rPr>
        <w:t>三、实施家电以旧换新工程</w:t>
      </w:r>
    </w:p>
    <w:p w14:paraId="75A83BE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以支持废旧家电回收体系改造提升为重点，打造回收网络 化、运管数字化、服务便捷化、循环产业化的回收体系，畅通家 电更新消费循环。</w:t>
      </w:r>
    </w:p>
    <w:p w14:paraId="2DCA20E8">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(四)家电回收体系提升行动</w:t>
      </w:r>
    </w:p>
    <w:p w14:paraId="77916D9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8.发挥财税政策引导作用。建设国家级、省级现代商贸流 通体系试点城市，统筹使用中央财政安排的现代商贸流通体系相 关资金，充分利用县域商业体系建设等现有资金渠道，改造提升 家电回收网络，支持回收网点、分拣中心、拆解设施等项目建 设，提高回收、中转和集散效率。落实废弃电器电子产品处理相关资金政策，支持废弃电器电子产品处理企业发展，畅通回收处 理全链条。推广再生资源回收企业向自然人报废产品出售者反向 开票的做法。落实再生资源回收企业增值税简易征收政策及所得 税征管配套措施，优化税收征管标准和方式。(省商务厅、发展 改革委、财政厅、生态环境厅、税务局等按职责分工负责)</w:t>
      </w:r>
    </w:p>
    <w:p w14:paraId="2031DD7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9.完善回收网络规划布局。强化废旧家电等再生资源回收 网络公益属性，各地制定再生资源回收网点规划，科学布局“社 区回收点、街道中转站、县(区)分拣中心”三级回收体系。推动生活垃圾收运网终和直生咨源回此网纹左扣划建设和云营笔 方面“两网”融合。政励大型豕电生产、钥售、回收、抓胖寺企 业建立社区直营回收网点，延伸回收链条。鼓励回收企业以连锁 经营、协议合作、特许经营等方式，承担废旧家电回收责任，整 合个体回收经营者，提高组织化程度。(省商务厅、住房城乡建 设厅、自然资源厅、供销社等按职责分工负责)</w:t>
      </w:r>
    </w:p>
    <w:p w14:paraId="1D6A75A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10.培育多元化规模化回收主体。培育一批国家级、省级废 旧家电等再生资源回收典型城市，省财政给予支持。引导家电生 产企业落实生产者责任延伸制度，建立逆向物流回收体系，或委 托家电回收、拆解等第三方企业回收。鼓励商超、家电卖场、电 商平台等流通企业与生产企业加强合作，发挥产销衔接、商品集 散的渠道优势，促进废旧家电回收。支持企业利用售后维修服务 网络开展逆向回收业务。(省商务厅、财政厅、供销社等按职责 分工负责)</w:t>
      </w:r>
    </w:p>
    <w:p w14:paraId="787A521D">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应用小往厅寺开  “线上预约、线下回收，捉供豕电收旧、达新、拆装“一站式”服务。支持各地推广“以车代库”等灵活回 收模式，指导流动回收车定点、定时进入街道、社区回收废旧家 电。支持供销社等回收企业与政府机关、企事业单位等建立稳定 合作关系，共同构建废旧办公设备、办公家具统一回收平台，形 成线上线下融合发展新模式。鼓励有条件的地区向供销社等回收企业推广“公物仓”模式。(省商条斤供销社等按职青分工负责 )</w:t>
      </w:r>
    </w:p>
    <w:p w14:paraId="66E8C8A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 xml:space="preserve">换新行动  </w:t>
      </w:r>
    </w:p>
    <w:p w14:paraId="60164B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12. 举办家电以旧换新活动。鼓励各地对消 费 者 废 旧 家电并新购绿色智能家电、智能电子产品给予补贴，具体补贴标准 和方式由各地结合实际制定实施，省财政对各地实际财政支出按照不超过30%给予奖补。 收企业开展以旧换新促销活动，开设线上线下家电以旧换新专 区，开展叠加让利，对家电以旧换新的消费者给予优惠。支持大 型平台企业开展家电以旧换新活动。(省商务厅、财政厅等按职 责分工负责</w:t>
      </w:r>
      <w:r>
        <w:rPr>
          <w:rFonts w:hint="eastAsia" w:ascii="仿宋" w:hAnsi="仿宋" w:eastAsia="仿宋" w:cs="仿宋"/>
          <w:sz w:val="32"/>
          <w:szCs w:val="32"/>
          <w:lang w:eastAsia="zh-CN"/>
        </w:rPr>
        <w:t>）</w:t>
      </w:r>
    </w:p>
    <w:p w14:paraId="3310141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13. 全面提升售后服务水平。 遴选培育一批实力强、模式 新、示范带动作用突出的家电售后服务领跑企业，进一步扩大规 范售后服务覆盖范围。引导家电售后服务企业提供在线下单、预 约上门、配件自选等个性化服务，不断提升维修服务规范化水平。(省商务厅、工业和信息化厅等按职责分工负责)</w:t>
      </w:r>
    </w:p>
    <w:p w14:paraId="72E15440">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黑体" w:hAnsi="黑体" w:eastAsia="黑体" w:cs="黑体"/>
          <w:sz w:val="32"/>
          <w:szCs w:val="32"/>
        </w:rPr>
      </w:pPr>
      <w:r>
        <w:rPr>
          <w:rFonts w:hint="eastAsia" w:ascii="黑体" w:hAnsi="黑体" w:eastAsia="黑体" w:cs="黑体"/>
          <w:sz w:val="32"/>
          <w:szCs w:val="32"/>
        </w:rPr>
        <w:t>四、实施家装厨卫“焕新”工程</w:t>
      </w:r>
    </w:p>
    <w:p w14:paraId="2471C92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以支持房屋装修、改造为切入点，推动家装厨卫消费品“焕 新”,促进家居消费潜力释放。</w:t>
      </w:r>
    </w:p>
    <w:p w14:paraId="78145FC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(六)智能家居“焕新”行动</w:t>
      </w:r>
    </w:p>
    <w:p w14:paraId="0C106A3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14.培育家居消费新增长点。鼓励居民开展旧房装修、 局部 升级改造、适老化改造、加装采暖设备等，推动智能家居在智慧 厨房、健康卫浴、家庭安防、养老监护等更多生活场景落地。鼓 励企业创新打造体验式、交互式家居消费场景，推动家装样板间进商场、进社区、进平台。鼓励各地对购买绿色智能家居产品给 予补贴，具体补贴标准和方式由各地结合实际制定实施 ，省财政 对各地实际财政支出按照不超过30%给予奖补。(省商务厅、住 房城乡建设厅、民政厅、财政厅等按职责分工负责)</w:t>
      </w:r>
    </w:p>
    <w:p w14:paraId="3E4D316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15.提升便民服务水平。鼓励街道、社区和居民小区设置 “家装便民服务点”,开展“诚信家装进社区”活动，提供家具临  时存放、家装信息咨询等服务。鼓励企业与社区共建公益维修 队，开展入户检修、评估，提供家装服务和家具产品团购套餐。推广“互联网十回收”等模式，支持企业提供家居厨卫等消费品上门“送新”、返程“收旧”服务。(省商务厅、住房城乡建设厅 等按职责分工负责)</w:t>
      </w:r>
    </w:p>
    <w:p w14:paraId="0DED36F4">
      <w:pPr>
        <w:keepNext w:val="0"/>
        <w:keepLines w:val="0"/>
        <w:pageBreakBefore w:val="0"/>
        <w:widowControl/>
        <w:kinsoku w:val="0"/>
        <w:wordWrap/>
        <w:overflowPunct/>
        <w:topLinePunct w:val="0"/>
        <w:autoSpaceDE w:val="0"/>
        <w:autoSpaceDN w:val="0"/>
        <w:bidi w:val="0"/>
        <w:adjustRightInd w:val="0"/>
        <w:snapToGrid w:val="0"/>
        <w:spacing w:line="600" w:lineRule="exact"/>
        <w:ind w:firstLine="320" w:firstLineChars="100"/>
        <w:textAlignment w:val="baseline"/>
        <w:rPr>
          <w:rFonts w:hint="eastAsia" w:ascii="黑体" w:hAnsi="黑体" w:eastAsia="黑体" w:cs="黑体"/>
          <w:sz w:val="32"/>
          <w:szCs w:val="32"/>
        </w:rPr>
      </w:pPr>
      <w:r>
        <w:rPr>
          <w:rFonts w:hint="eastAsia" w:ascii="黑体" w:hAnsi="黑体" w:eastAsia="黑体" w:cs="黑体"/>
          <w:sz w:val="32"/>
          <w:szCs w:val="32"/>
        </w:rPr>
        <w:t>五、抓好组织实施</w:t>
      </w:r>
    </w:p>
    <w:p w14:paraId="19F645B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(七)加强组织领导。省商务、财政、工业和信息化部门牵 头，会同省委金融办、省发展改革、公安、民政、自然资源、生 态环境、住房城乡建设、交通运输、市场监管、体育、机关事务 管理、人行、税务、海关、金融监管、供销等部门单位建立工作 协调机制，研究解决消费品以旧换新工作中遇到的困难问题。各 地要按照本实施方案细化落实举措，明确任务分工，层层压实责任。(各地、各有关部门按职责分工负责)</w:t>
      </w:r>
    </w:p>
    <w:p w14:paraId="1216BE7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(八)强化要素保障。各地要加强对中央财政、省财政相关  资金安排使用的指导监督，抓好废旧家电等再生资源回收体系建设项目推进工作，强化对参与企业的教育、指导和监督。对弄虚作假骗补行为，要追回补贴资金，依法依规严肃查处。加大报废机动车回收拆解企业建设项目用地支持力度，将废旧家电等再生资源回收设施用地纳入地方公共基础设施用地范围，保障合理用地需求。因地制宜，对废旧家电、家具等回收车辆通行区域、上 路时段等予以支持和规范。各地可参照汽车、家电以旧换新相关做法，研究推动电动自行车以旧换新工作。(省商务厅、财政厅、 自然资源厅、公安厅、生态环境厅等按职责分工负责)</w:t>
      </w:r>
    </w:p>
    <w:p w14:paraId="3FC4F8A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(九)优化金融支持。鼓励金融机构在依法合规、风险可控 前提下，合理确定汽车贷款具体发放比例，开展智能家居、家庭 装修等消费信贷业务，给予更优惠贷款利率、延长还款期限。鼓 励保险机构进一步丰富汽车保险产品和服务，合理确定新能源汽 车等保险费率，为消费者提供有效充足的风险保障。(省委金融 办、人行河南省分行、国家金融监管总局河南监管局等按职责分工负责)</w:t>
      </w:r>
    </w:p>
    <w:p w14:paraId="6275CA0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(十)办好促进活动。开展政策宣传解读，宣介汽车、家电、 厨卫电器、灶具、洁具等消费品的建议使用年限、维修保养周期   等标准和信息，倡导绿色、安全消费理念。突出“消费促进年” 消费品以旧换新活动，支持举办新能源汽车消费季、家电换新消  费季、家居焕新季等活动，激发消费市场活力。各地每季度末报  送消费品以旧换新情况。(省商务厅、工业和信息化厅、生态环  境厅等按职责分工负责)</w:t>
      </w:r>
    </w:p>
    <w:p w14:paraId="5096642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2CFF64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rPr>
        <w:t>附件：消费品以旧换新情况汇总表</w:t>
      </w:r>
    </w:p>
    <w:p w14:paraId="46DDED9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42C1D3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205B7A8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50A026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36044EA">
      <w:pPr>
        <w:rPr>
          <w:rFonts w:hint="eastAsia" w:ascii="仿宋" w:hAnsi="仿宋" w:eastAsia="仿宋" w:cs="仿宋"/>
          <w:sz w:val="32"/>
          <w:szCs w:val="32"/>
        </w:rPr>
      </w:pPr>
      <w:r>
        <w:rPr>
          <w:rFonts w:hint="eastAsia" w:ascii="仿宋" w:hAnsi="仿宋" w:eastAsia="仿宋" w:cs="仿宋"/>
          <w:sz w:val="32"/>
          <w:szCs w:val="32"/>
        </w:rPr>
        <w:br w:type="page"/>
      </w:r>
    </w:p>
    <w:p w14:paraId="38F056D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sectPr>
          <w:headerReference r:id="rId5" w:type="default"/>
          <w:footerReference r:id="rId6" w:type="default"/>
          <w:pgSz w:w="11900" w:h="16840"/>
          <w:pgMar w:top="1440" w:right="1800" w:bottom="1440" w:left="1800" w:header="0" w:footer="0" w:gutter="0"/>
          <w:cols w:space="720" w:num="1"/>
        </w:sectPr>
      </w:pPr>
    </w:p>
    <w:p w14:paraId="6D4AD2DF">
      <w:pPr>
        <w:spacing w:before="73" w:line="224" w:lineRule="auto"/>
        <w:ind w:left="1375"/>
        <w:rPr>
          <w:rFonts w:ascii="黑体" w:hAnsi="黑体" w:eastAsia="黑体" w:cs="黑体"/>
          <w:sz w:val="36"/>
          <w:szCs w:val="36"/>
        </w:rPr>
      </w:pPr>
      <w:r>
        <w:rPr>
          <w:rFonts w:ascii="黑体" w:hAnsi="黑体" w:eastAsia="黑体" w:cs="黑体"/>
          <w:b/>
          <w:bCs/>
          <w:spacing w:val="-15"/>
          <w:sz w:val="36"/>
          <w:szCs w:val="36"/>
        </w:rPr>
        <w:t>附</w:t>
      </w:r>
      <w:r>
        <w:rPr>
          <w:rFonts w:ascii="黑体" w:hAnsi="黑体" w:eastAsia="黑体" w:cs="黑体"/>
          <w:spacing w:val="-15"/>
          <w:sz w:val="36"/>
          <w:szCs w:val="36"/>
        </w:rPr>
        <w:t xml:space="preserve">  </w:t>
      </w:r>
      <w:r>
        <w:rPr>
          <w:rFonts w:ascii="黑体" w:hAnsi="黑体" w:eastAsia="黑体" w:cs="黑体"/>
          <w:b/>
          <w:bCs/>
          <w:spacing w:val="-15"/>
          <w:sz w:val="36"/>
          <w:szCs w:val="36"/>
        </w:rPr>
        <w:t>件</w:t>
      </w:r>
    </w:p>
    <w:p w14:paraId="06A55EDF">
      <w:pPr>
        <w:spacing w:line="304" w:lineRule="auto"/>
        <w:rPr>
          <w:rFonts w:ascii="Arial"/>
          <w:sz w:val="21"/>
        </w:rPr>
      </w:pPr>
    </w:p>
    <w:p w14:paraId="7903346D">
      <w:pPr>
        <w:spacing w:before="146" w:line="220" w:lineRule="auto"/>
        <w:ind w:firstLine="3438" w:firstLineChars="800"/>
        <w:rPr>
          <w:rFonts w:ascii="宋体" w:hAnsi="宋体" w:eastAsia="宋体" w:cs="宋体"/>
          <w:sz w:val="45"/>
          <w:szCs w:val="45"/>
        </w:rPr>
      </w:pPr>
      <w:r>
        <w:rPr>
          <w:rFonts w:ascii="宋体" w:hAnsi="宋体" w:eastAsia="宋体" w:cs="宋体"/>
          <w:b/>
          <w:bCs/>
          <w:spacing w:val="-11"/>
          <w:sz w:val="45"/>
          <w:szCs w:val="45"/>
        </w:rPr>
        <w:t>消费品以旧换新情况汇总表</w:t>
      </w:r>
    </w:p>
    <w:p w14:paraId="1418F5F5">
      <w:pPr>
        <w:spacing w:line="310" w:lineRule="auto"/>
        <w:rPr>
          <w:rFonts w:ascii="Arial"/>
          <w:sz w:val="21"/>
        </w:rPr>
      </w:pPr>
    </w:p>
    <w:tbl>
      <w:tblPr>
        <w:tblStyle w:val="5"/>
        <w:tblpPr w:leftFromText="180" w:rightFromText="180" w:vertAnchor="text" w:horzAnchor="page" w:tblpX="1734" w:tblpY="-31"/>
        <w:tblOverlap w:val="never"/>
        <w:tblW w:w="13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809"/>
        <w:gridCol w:w="1839"/>
        <w:gridCol w:w="1299"/>
        <w:gridCol w:w="1289"/>
        <w:gridCol w:w="1289"/>
        <w:gridCol w:w="1289"/>
        <w:gridCol w:w="1279"/>
        <w:gridCol w:w="1289"/>
        <w:gridCol w:w="1309"/>
        <w:gridCol w:w="1294"/>
      </w:tblGrid>
      <w:tr w14:paraId="715CA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804" w:type="dxa"/>
            <w:vMerge w:val="restart"/>
            <w:tcBorders>
              <w:bottom w:val="nil"/>
            </w:tcBorders>
            <w:vAlign w:val="top"/>
          </w:tcPr>
          <w:p w14:paraId="0608A9B3">
            <w:pPr>
              <w:pStyle w:val="6"/>
              <w:spacing w:line="241" w:lineRule="auto"/>
            </w:pPr>
          </w:p>
          <w:p w14:paraId="53DAFDB9">
            <w:pPr>
              <w:pStyle w:val="6"/>
              <w:spacing w:line="241" w:lineRule="auto"/>
            </w:pPr>
          </w:p>
          <w:p w14:paraId="74E92834">
            <w:pPr>
              <w:pStyle w:val="6"/>
              <w:spacing w:line="241" w:lineRule="auto"/>
            </w:pPr>
          </w:p>
          <w:p w14:paraId="471DC7AE">
            <w:pPr>
              <w:pStyle w:val="6"/>
              <w:spacing w:line="242" w:lineRule="auto"/>
            </w:pPr>
          </w:p>
          <w:p w14:paraId="5A36C642">
            <w:pPr>
              <w:pStyle w:val="6"/>
              <w:spacing w:line="242" w:lineRule="auto"/>
            </w:pPr>
          </w:p>
          <w:p w14:paraId="6EABCF9A">
            <w:pPr>
              <w:spacing w:before="82" w:line="221" w:lineRule="auto"/>
              <w:ind w:left="145"/>
              <w:rPr>
                <w:rFonts w:ascii="宋体" w:hAnsi="宋体" w:eastAsia="宋体" w:cs="宋体"/>
                <w:sz w:val="25"/>
                <w:szCs w:val="25"/>
              </w:rPr>
            </w:pPr>
            <w:r>
              <w:rPr>
                <w:rFonts w:ascii="宋体" w:hAnsi="宋体" w:eastAsia="宋体" w:cs="宋体"/>
                <w:spacing w:val="7"/>
                <w:sz w:val="25"/>
                <w:szCs w:val="25"/>
              </w:rPr>
              <w:t>序号</w:t>
            </w:r>
          </w:p>
        </w:tc>
        <w:tc>
          <w:tcPr>
            <w:tcW w:w="809" w:type="dxa"/>
            <w:vMerge w:val="restart"/>
            <w:tcBorders>
              <w:bottom w:val="nil"/>
            </w:tcBorders>
            <w:vAlign w:val="top"/>
          </w:tcPr>
          <w:p w14:paraId="050023BB">
            <w:pPr>
              <w:pStyle w:val="6"/>
              <w:spacing w:line="241" w:lineRule="auto"/>
            </w:pPr>
          </w:p>
          <w:p w14:paraId="637CF0C1">
            <w:pPr>
              <w:pStyle w:val="6"/>
              <w:spacing w:line="241" w:lineRule="auto"/>
            </w:pPr>
          </w:p>
          <w:p w14:paraId="1568552B">
            <w:pPr>
              <w:pStyle w:val="6"/>
              <w:spacing w:line="241" w:lineRule="auto"/>
            </w:pPr>
          </w:p>
          <w:p w14:paraId="2FF276A5">
            <w:pPr>
              <w:pStyle w:val="6"/>
              <w:spacing w:line="241" w:lineRule="auto"/>
            </w:pPr>
          </w:p>
          <w:p w14:paraId="282DDEE3">
            <w:pPr>
              <w:pStyle w:val="6"/>
              <w:spacing w:line="242" w:lineRule="auto"/>
            </w:pPr>
          </w:p>
          <w:p w14:paraId="6A2C3381">
            <w:pPr>
              <w:spacing w:before="81" w:line="219" w:lineRule="auto"/>
              <w:ind w:left="101"/>
              <w:rPr>
                <w:rFonts w:ascii="宋体" w:hAnsi="宋体" w:eastAsia="宋体" w:cs="宋体"/>
                <w:sz w:val="25"/>
                <w:szCs w:val="25"/>
              </w:rPr>
            </w:pPr>
            <w:r>
              <w:rPr>
                <w:rFonts w:ascii="宋体" w:hAnsi="宋体" w:eastAsia="宋体" w:cs="宋体"/>
                <w:spacing w:val="7"/>
                <w:sz w:val="25"/>
                <w:szCs w:val="25"/>
              </w:rPr>
              <w:t>地市</w:t>
            </w:r>
          </w:p>
        </w:tc>
        <w:tc>
          <w:tcPr>
            <w:tcW w:w="3138" w:type="dxa"/>
            <w:gridSpan w:val="2"/>
            <w:vAlign w:val="top"/>
          </w:tcPr>
          <w:p w14:paraId="1B9AFAC3">
            <w:pPr>
              <w:pStyle w:val="6"/>
              <w:spacing w:line="309" w:lineRule="auto"/>
            </w:pPr>
          </w:p>
          <w:p w14:paraId="5D5AC59D">
            <w:pPr>
              <w:spacing w:before="81" w:line="220" w:lineRule="auto"/>
              <w:ind w:left="785"/>
              <w:rPr>
                <w:rFonts w:ascii="宋体" w:hAnsi="宋体" w:eastAsia="宋体" w:cs="宋体"/>
                <w:sz w:val="25"/>
                <w:szCs w:val="25"/>
              </w:rPr>
            </w:pPr>
            <w:r>
              <w:rPr>
                <w:rFonts w:ascii="宋体" w:hAnsi="宋体" w:eastAsia="宋体" w:cs="宋体"/>
                <w:b/>
                <w:bCs/>
                <w:spacing w:val="-5"/>
                <w:sz w:val="25"/>
                <w:szCs w:val="25"/>
              </w:rPr>
              <w:t>活动开展情况</w:t>
            </w:r>
          </w:p>
        </w:tc>
        <w:tc>
          <w:tcPr>
            <w:tcW w:w="2578" w:type="dxa"/>
            <w:gridSpan w:val="2"/>
            <w:vAlign w:val="top"/>
          </w:tcPr>
          <w:p w14:paraId="5B22F3BD">
            <w:pPr>
              <w:pStyle w:val="6"/>
              <w:spacing w:line="312" w:lineRule="auto"/>
            </w:pPr>
          </w:p>
          <w:p w14:paraId="1D61DEAE">
            <w:pPr>
              <w:spacing w:before="81" w:line="219" w:lineRule="auto"/>
              <w:ind w:left="273"/>
              <w:rPr>
                <w:rFonts w:ascii="宋体" w:hAnsi="宋体" w:eastAsia="宋体" w:cs="宋体"/>
                <w:sz w:val="25"/>
                <w:szCs w:val="25"/>
              </w:rPr>
            </w:pPr>
            <w:r>
              <w:rPr>
                <w:rFonts w:ascii="宋体" w:hAnsi="宋体" w:eastAsia="宋体" w:cs="宋体"/>
                <w:spacing w:val="1"/>
                <w:sz w:val="25"/>
                <w:szCs w:val="25"/>
              </w:rPr>
              <w:t>汽车报废更新情况</w:t>
            </w:r>
          </w:p>
        </w:tc>
        <w:tc>
          <w:tcPr>
            <w:tcW w:w="2568" w:type="dxa"/>
            <w:gridSpan w:val="2"/>
            <w:vAlign w:val="top"/>
          </w:tcPr>
          <w:p w14:paraId="33A3415D">
            <w:pPr>
              <w:pStyle w:val="6"/>
              <w:spacing w:line="312" w:lineRule="auto"/>
            </w:pPr>
          </w:p>
          <w:p w14:paraId="2FEF75D2">
            <w:pPr>
              <w:spacing w:before="81" w:line="219" w:lineRule="auto"/>
              <w:ind w:left="136"/>
              <w:rPr>
                <w:rFonts w:ascii="宋体" w:hAnsi="宋体" w:eastAsia="宋体" w:cs="宋体"/>
                <w:sz w:val="25"/>
                <w:szCs w:val="25"/>
              </w:rPr>
            </w:pPr>
            <w:r>
              <w:rPr>
                <w:rFonts w:ascii="宋体" w:hAnsi="宋体" w:eastAsia="宋体" w:cs="宋体"/>
                <w:spacing w:val="1"/>
                <w:sz w:val="25"/>
                <w:szCs w:val="25"/>
              </w:rPr>
              <w:t>二手车置换更新情况</w:t>
            </w:r>
          </w:p>
        </w:tc>
        <w:tc>
          <w:tcPr>
            <w:tcW w:w="2598" w:type="dxa"/>
            <w:gridSpan w:val="2"/>
            <w:vAlign w:val="top"/>
          </w:tcPr>
          <w:p w14:paraId="28D41EEB">
            <w:pPr>
              <w:pStyle w:val="6"/>
              <w:spacing w:line="312" w:lineRule="auto"/>
            </w:pPr>
          </w:p>
          <w:p w14:paraId="13D1958E">
            <w:pPr>
              <w:spacing w:before="82" w:line="220" w:lineRule="auto"/>
              <w:ind w:left="268"/>
              <w:rPr>
                <w:rFonts w:ascii="宋体" w:hAnsi="宋体" w:eastAsia="宋体" w:cs="宋体"/>
                <w:sz w:val="25"/>
                <w:szCs w:val="25"/>
              </w:rPr>
            </w:pPr>
            <w:r>
              <w:rPr>
                <w:rFonts w:ascii="宋体" w:hAnsi="宋体" w:eastAsia="宋体" w:cs="宋体"/>
                <w:spacing w:val="1"/>
                <w:sz w:val="25"/>
                <w:szCs w:val="25"/>
              </w:rPr>
              <w:t>家电以旧换新情况</w:t>
            </w:r>
          </w:p>
        </w:tc>
        <w:tc>
          <w:tcPr>
            <w:tcW w:w="1294" w:type="dxa"/>
            <w:vAlign w:val="top"/>
          </w:tcPr>
          <w:p w14:paraId="4AF34D0E">
            <w:pPr>
              <w:spacing w:before="66" w:line="220" w:lineRule="auto"/>
              <w:ind w:left="139"/>
              <w:rPr>
                <w:rFonts w:ascii="宋体" w:hAnsi="宋体" w:eastAsia="宋体" w:cs="宋体"/>
                <w:sz w:val="25"/>
                <w:szCs w:val="25"/>
              </w:rPr>
            </w:pPr>
            <w:r>
              <w:rPr>
                <w:rFonts w:ascii="宋体" w:hAnsi="宋体" w:eastAsia="宋体" w:cs="宋体"/>
                <w:spacing w:val="2"/>
                <w:sz w:val="25"/>
                <w:szCs w:val="25"/>
              </w:rPr>
              <w:t>家装厨卫</w:t>
            </w:r>
          </w:p>
          <w:p w14:paraId="3BB18242">
            <w:pPr>
              <w:spacing w:before="29" w:line="219" w:lineRule="auto"/>
              <w:jc w:val="right"/>
              <w:rPr>
                <w:rFonts w:ascii="宋体" w:hAnsi="宋体" w:eastAsia="宋体" w:cs="宋体"/>
                <w:sz w:val="25"/>
                <w:szCs w:val="25"/>
              </w:rPr>
            </w:pPr>
            <w:r>
              <w:rPr>
                <w:rFonts w:ascii="宋体" w:hAnsi="宋体" w:eastAsia="宋体" w:cs="宋体"/>
                <w:spacing w:val="21"/>
                <w:sz w:val="25"/>
                <w:szCs w:val="25"/>
              </w:rPr>
              <w:t>“</w:t>
            </w:r>
            <w:r>
              <w:rPr>
                <w:rFonts w:ascii="宋体" w:hAnsi="宋体" w:eastAsia="宋体" w:cs="宋体"/>
                <w:spacing w:val="-45"/>
                <w:sz w:val="25"/>
                <w:szCs w:val="25"/>
              </w:rPr>
              <w:t xml:space="preserve"> </w:t>
            </w:r>
            <w:r>
              <w:rPr>
                <w:rFonts w:ascii="宋体" w:hAnsi="宋体" w:eastAsia="宋体" w:cs="宋体"/>
                <w:spacing w:val="21"/>
                <w:sz w:val="25"/>
                <w:szCs w:val="25"/>
              </w:rPr>
              <w:t>焕新</w:t>
            </w:r>
            <w:r>
              <w:rPr>
                <w:rFonts w:ascii="宋体" w:hAnsi="宋体" w:eastAsia="宋体" w:cs="宋体"/>
                <w:spacing w:val="-21"/>
                <w:sz w:val="25"/>
                <w:szCs w:val="25"/>
              </w:rPr>
              <w:t xml:space="preserve"> </w:t>
            </w:r>
            <w:r>
              <w:rPr>
                <w:rFonts w:ascii="宋体" w:hAnsi="宋体" w:eastAsia="宋体" w:cs="宋体"/>
                <w:spacing w:val="21"/>
                <w:sz w:val="25"/>
                <w:szCs w:val="25"/>
              </w:rPr>
              <w:t>”</w:t>
            </w:r>
          </w:p>
          <w:p w14:paraId="1D50D8D7">
            <w:pPr>
              <w:spacing w:before="35" w:line="212" w:lineRule="auto"/>
              <w:ind w:left="390"/>
              <w:rPr>
                <w:rFonts w:ascii="宋体" w:hAnsi="宋体" w:eastAsia="宋体" w:cs="宋体"/>
                <w:sz w:val="25"/>
                <w:szCs w:val="25"/>
              </w:rPr>
            </w:pPr>
            <w:r>
              <w:rPr>
                <w:rFonts w:ascii="宋体" w:hAnsi="宋体" w:eastAsia="宋体" w:cs="宋体"/>
                <w:spacing w:val="5"/>
                <w:sz w:val="25"/>
                <w:szCs w:val="25"/>
              </w:rPr>
              <w:t>情况</w:t>
            </w:r>
          </w:p>
        </w:tc>
      </w:tr>
      <w:tr w14:paraId="35D4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804" w:type="dxa"/>
            <w:vMerge w:val="continue"/>
            <w:tcBorders>
              <w:top w:val="nil"/>
            </w:tcBorders>
            <w:vAlign w:val="top"/>
          </w:tcPr>
          <w:p w14:paraId="2876F0B7">
            <w:pPr>
              <w:pStyle w:val="6"/>
            </w:pPr>
          </w:p>
        </w:tc>
        <w:tc>
          <w:tcPr>
            <w:tcW w:w="809" w:type="dxa"/>
            <w:vMerge w:val="continue"/>
            <w:tcBorders>
              <w:top w:val="nil"/>
            </w:tcBorders>
            <w:vAlign w:val="top"/>
          </w:tcPr>
          <w:p w14:paraId="5D31963D">
            <w:pPr>
              <w:pStyle w:val="6"/>
            </w:pPr>
          </w:p>
        </w:tc>
        <w:tc>
          <w:tcPr>
            <w:tcW w:w="1839" w:type="dxa"/>
            <w:vAlign w:val="top"/>
          </w:tcPr>
          <w:p w14:paraId="662ADC30">
            <w:pPr>
              <w:spacing w:before="150" w:line="219" w:lineRule="auto"/>
              <w:ind w:left="412"/>
              <w:rPr>
                <w:rFonts w:ascii="宋体" w:hAnsi="宋体" w:eastAsia="宋体" w:cs="宋体"/>
                <w:sz w:val="25"/>
                <w:szCs w:val="25"/>
              </w:rPr>
            </w:pPr>
            <w:r>
              <w:rPr>
                <w:rFonts w:ascii="宋体" w:hAnsi="宋体" w:eastAsia="宋体" w:cs="宋体"/>
                <w:spacing w:val="3"/>
                <w:sz w:val="25"/>
                <w:szCs w:val="25"/>
              </w:rPr>
              <w:t>活动简介</w:t>
            </w:r>
          </w:p>
          <w:p w14:paraId="0821F813">
            <w:pPr>
              <w:spacing w:before="23" w:line="219" w:lineRule="auto"/>
              <w:ind w:left="221"/>
              <w:rPr>
                <w:rFonts w:ascii="宋体" w:hAnsi="宋体" w:eastAsia="宋体" w:cs="宋体"/>
                <w:sz w:val="25"/>
                <w:szCs w:val="25"/>
              </w:rPr>
            </w:pPr>
            <w:r>
              <w:rPr>
                <w:rFonts w:ascii="宋体" w:hAnsi="宋体" w:eastAsia="宋体" w:cs="宋体"/>
                <w:spacing w:val="2"/>
                <w:sz w:val="25"/>
                <w:szCs w:val="25"/>
              </w:rPr>
              <w:t>(逐个活动简</w:t>
            </w:r>
          </w:p>
          <w:p w14:paraId="222B32DD">
            <w:pPr>
              <w:spacing w:before="13" w:line="219" w:lineRule="auto"/>
              <w:ind w:left="161"/>
              <w:rPr>
                <w:rFonts w:ascii="宋体" w:hAnsi="宋体" w:eastAsia="宋体" w:cs="宋体"/>
                <w:sz w:val="25"/>
                <w:szCs w:val="25"/>
              </w:rPr>
            </w:pPr>
            <w:r>
              <w:rPr>
                <w:rFonts w:ascii="宋体" w:hAnsi="宋体" w:eastAsia="宋体" w:cs="宋体"/>
                <w:spacing w:val="20"/>
                <w:sz w:val="25"/>
                <w:szCs w:val="25"/>
              </w:rPr>
              <w:t>要介绍时间、</w:t>
            </w:r>
          </w:p>
          <w:p w14:paraId="0CA2CED9">
            <w:pPr>
              <w:spacing w:before="25" w:line="219" w:lineRule="auto"/>
              <w:ind w:left="161"/>
              <w:rPr>
                <w:rFonts w:ascii="宋体" w:hAnsi="宋体" w:eastAsia="宋体" w:cs="宋体"/>
                <w:sz w:val="25"/>
                <w:szCs w:val="25"/>
              </w:rPr>
            </w:pPr>
            <w:r>
              <w:rPr>
                <w:rFonts w:ascii="宋体" w:hAnsi="宋体" w:eastAsia="宋体" w:cs="宋体"/>
                <w:spacing w:val="5"/>
                <w:sz w:val="25"/>
                <w:szCs w:val="25"/>
              </w:rPr>
              <w:t>地点、主要内</w:t>
            </w:r>
          </w:p>
          <w:p w14:paraId="52AB6ADE">
            <w:pPr>
              <w:spacing w:before="24" w:line="220" w:lineRule="auto"/>
              <w:ind w:left="342"/>
              <w:rPr>
                <w:rFonts w:ascii="宋体" w:hAnsi="宋体" w:eastAsia="宋体" w:cs="宋体"/>
                <w:sz w:val="25"/>
                <w:szCs w:val="25"/>
              </w:rPr>
            </w:pPr>
            <w:r>
              <w:rPr>
                <w:rFonts w:ascii="宋体" w:hAnsi="宋体" w:eastAsia="宋体" w:cs="宋体"/>
                <w:spacing w:val="11"/>
                <w:sz w:val="25"/>
                <w:szCs w:val="25"/>
              </w:rPr>
              <w:t>容及成效)</w:t>
            </w:r>
          </w:p>
        </w:tc>
        <w:tc>
          <w:tcPr>
            <w:tcW w:w="1299" w:type="dxa"/>
            <w:vAlign w:val="top"/>
          </w:tcPr>
          <w:p w14:paraId="30C87CD3">
            <w:pPr>
              <w:pStyle w:val="6"/>
              <w:spacing w:line="343" w:lineRule="auto"/>
            </w:pPr>
          </w:p>
          <w:p w14:paraId="36C6BB32">
            <w:pPr>
              <w:pStyle w:val="6"/>
              <w:spacing w:line="343" w:lineRule="auto"/>
            </w:pPr>
          </w:p>
          <w:p w14:paraId="1FDBA343">
            <w:pPr>
              <w:spacing w:before="82" w:line="219" w:lineRule="auto"/>
              <w:ind w:left="132"/>
              <w:rPr>
                <w:rFonts w:ascii="宋体" w:hAnsi="宋体" w:eastAsia="宋体" w:cs="宋体"/>
                <w:sz w:val="25"/>
                <w:szCs w:val="25"/>
              </w:rPr>
            </w:pPr>
            <w:r>
              <w:rPr>
                <w:rFonts w:ascii="宋体" w:hAnsi="宋体" w:eastAsia="宋体" w:cs="宋体"/>
                <w:spacing w:val="2"/>
                <w:sz w:val="25"/>
                <w:szCs w:val="25"/>
              </w:rPr>
              <w:t>活动场次</w:t>
            </w:r>
          </w:p>
        </w:tc>
        <w:tc>
          <w:tcPr>
            <w:tcW w:w="1289" w:type="dxa"/>
            <w:vAlign w:val="top"/>
          </w:tcPr>
          <w:p w14:paraId="62CCECEC">
            <w:pPr>
              <w:pStyle w:val="6"/>
              <w:spacing w:line="368" w:lineRule="auto"/>
            </w:pPr>
          </w:p>
          <w:p w14:paraId="1E39A514">
            <w:pPr>
              <w:spacing w:before="82" w:line="219" w:lineRule="auto"/>
              <w:ind w:left="133"/>
              <w:rPr>
                <w:rFonts w:ascii="宋体" w:hAnsi="宋体" w:eastAsia="宋体" w:cs="宋体"/>
                <w:sz w:val="25"/>
                <w:szCs w:val="25"/>
              </w:rPr>
            </w:pPr>
            <w:r>
              <w:rPr>
                <w:rFonts w:ascii="宋体" w:hAnsi="宋体" w:eastAsia="宋体" w:cs="宋体"/>
                <w:spacing w:val="3"/>
                <w:sz w:val="25"/>
                <w:szCs w:val="25"/>
              </w:rPr>
              <w:t>汽车报废</w:t>
            </w:r>
          </w:p>
          <w:p w14:paraId="04687DBC">
            <w:pPr>
              <w:spacing w:before="14" w:line="220" w:lineRule="auto"/>
              <w:ind w:left="264"/>
              <w:rPr>
                <w:rFonts w:ascii="宋体" w:hAnsi="宋体" w:eastAsia="宋体" w:cs="宋体"/>
                <w:sz w:val="25"/>
                <w:szCs w:val="25"/>
              </w:rPr>
            </w:pPr>
            <w:r>
              <w:rPr>
                <w:rFonts w:ascii="宋体" w:hAnsi="宋体" w:eastAsia="宋体" w:cs="宋体"/>
                <w:spacing w:val="3"/>
                <w:sz w:val="25"/>
                <w:szCs w:val="25"/>
              </w:rPr>
              <w:t>更新量</w:t>
            </w:r>
          </w:p>
          <w:p w14:paraId="346F816E">
            <w:pPr>
              <w:spacing w:before="31" w:line="219" w:lineRule="auto"/>
              <w:ind w:left="384"/>
              <w:rPr>
                <w:rFonts w:ascii="宋体" w:hAnsi="宋体" w:eastAsia="宋体" w:cs="宋体"/>
                <w:sz w:val="25"/>
                <w:szCs w:val="25"/>
              </w:rPr>
            </w:pPr>
            <w:r>
              <w:rPr>
                <w:rFonts w:ascii="宋体" w:hAnsi="宋体" w:eastAsia="宋体" w:cs="宋体"/>
                <w:spacing w:val="18"/>
                <w:sz w:val="25"/>
                <w:szCs w:val="25"/>
              </w:rPr>
              <w:t>(辆)</w:t>
            </w:r>
          </w:p>
        </w:tc>
        <w:tc>
          <w:tcPr>
            <w:tcW w:w="1289" w:type="dxa"/>
            <w:vAlign w:val="top"/>
          </w:tcPr>
          <w:p w14:paraId="381BBC37">
            <w:pPr>
              <w:pStyle w:val="6"/>
              <w:spacing w:line="359" w:lineRule="auto"/>
            </w:pPr>
          </w:p>
          <w:p w14:paraId="7A9CCB75">
            <w:pPr>
              <w:spacing w:before="81" w:line="219" w:lineRule="auto"/>
              <w:ind w:left="134"/>
              <w:rPr>
                <w:rFonts w:ascii="宋体" w:hAnsi="宋体" w:eastAsia="宋体" w:cs="宋体"/>
                <w:sz w:val="25"/>
                <w:szCs w:val="25"/>
              </w:rPr>
            </w:pPr>
            <w:r>
              <w:rPr>
                <w:rFonts w:ascii="宋体" w:hAnsi="宋体" w:eastAsia="宋体" w:cs="宋体"/>
                <w:spacing w:val="2"/>
                <w:sz w:val="25"/>
                <w:szCs w:val="25"/>
              </w:rPr>
              <w:t>带动新车</w:t>
            </w:r>
          </w:p>
          <w:p w14:paraId="45B17D5B">
            <w:pPr>
              <w:spacing w:before="33" w:line="219" w:lineRule="auto"/>
              <w:ind w:left="264"/>
              <w:rPr>
                <w:rFonts w:ascii="宋体" w:hAnsi="宋体" w:eastAsia="宋体" w:cs="宋体"/>
                <w:sz w:val="25"/>
                <w:szCs w:val="25"/>
              </w:rPr>
            </w:pPr>
            <w:r>
              <w:rPr>
                <w:rFonts w:ascii="宋体" w:hAnsi="宋体" w:eastAsia="宋体" w:cs="宋体"/>
                <w:spacing w:val="3"/>
                <w:sz w:val="25"/>
                <w:szCs w:val="25"/>
              </w:rPr>
              <w:t>销售额</w:t>
            </w:r>
          </w:p>
          <w:p w14:paraId="511C866C">
            <w:pPr>
              <w:spacing w:before="24" w:line="220" w:lineRule="auto"/>
              <w:ind w:left="264"/>
              <w:rPr>
                <w:rFonts w:ascii="宋体" w:hAnsi="宋体" w:eastAsia="宋体" w:cs="宋体"/>
                <w:sz w:val="25"/>
                <w:szCs w:val="25"/>
              </w:rPr>
            </w:pPr>
            <w:r>
              <w:rPr>
                <w:rFonts w:ascii="宋体" w:hAnsi="宋体" w:eastAsia="宋体" w:cs="宋体"/>
                <w:spacing w:val="13"/>
                <w:sz w:val="25"/>
                <w:szCs w:val="25"/>
              </w:rPr>
              <w:t>(万元)</w:t>
            </w:r>
          </w:p>
        </w:tc>
        <w:tc>
          <w:tcPr>
            <w:tcW w:w="1289" w:type="dxa"/>
            <w:vAlign w:val="top"/>
          </w:tcPr>
          <w:p w14:paraId="66C78413">
            <w:pPr>
              <w:pStyle w:val="6"/>
              <w:spacing w:line="368" w:lineRule="auto"/>
            </w:pPr>
          </w:p>
          <w:p w14:paraId="2B28FC79">
            <w:pPr>
              <w:spacing w:before="82" w:line="219" w:lineRule="auto"/>
              <w:ind w:left="136"/>
              <w:rPr>
                <w:rFonts w:ascii="宋体" w:hAnsi="宋体" w:eastAsia="宋体" w:cs="宋体"/>
                <w:sz w:val="25"/>
                <w:szCs w:val="25"/>
              </w:rPr>
            </w:pPr>
            <w:r>
              <w:rPr>
                <w:rFonts w:ascii="宋体" w:hAnsi="宋体" w:eastAsia="宋体" w:cs="宋体"/>
                <w:spacing w:val="2"/>
                <w:sz w:val="25"/>
                <w:szCs w:val="25"/>
              </w:rPr>
              <w:t>二手车置</w:t>
            </w:r>
          </w:p>
          <w:p w14:paraId="2879878C">
            <w:pPr>
              <w:spacing w:before="24" w:line="220" w:lineRule="auto"/>
              <w:ind w:left="136"/>
              <w:rPr>
                <w:rFonts w:ascii="宋体" w:hAnsi="宋体" w:eastAsia="宋体" w:cs="宋体"/>
                <w:sz w:val="25"/>
                <w:szCs w:val="25"/>
              </w:rPr>
            </w:pPr>
            <w:r>
              <w:rPr>
                <w:rFonts w:ascii="宋体" w:hAnsi="宋体" w:eastAsia="宋体" w:cs="宋体"/>
                <w:spacing w:val="2"/>
                <w:sz w:val="25"/>
                <w:szCs w:val="25"/>
              </w:rPr>
              <w:t>换更新量</w:t>
            </w:r>
          </w:p>
          <w:p w14:paraId="72B09EBD">
            <w:pPr>
              <w:spacing w:before="31" w:line="219" w:lineRule="auto"/>
              <w:ind w:left="385"/>
              <w:rPr>
                <w:rFonts w:ascii="宋体" w:hAnsi="宋体" w:eastAsia="宋体" w:cs="宋体"/>
                <w:sz w:val="25"/>
                <w:szCs w:val="25"/>
              </w:rPr>
            </w:pPr>
            <w:r>
              <w:rPr>
                <w:rFonts w:ascii="宋体" w:hAnsi="宋体" w:eastAsia="宋体" w:cs="宋体"/>
                <w:spacing w:val="18"/>
                <w:sz w:val="25"/>
                <w:szCs w:val="25"/>
              </w:rPr>
              <w:t>(辆)</w:t>
            </w:r>
          </w:p>
        </w:tc>
        <w:tc>
          <w:tcPr>
            <w:tcW w:w="1279" w:type="dxa"/>
            <w:vAlign w:val="top"/>
          </w:tcPr>
          <w:p w14:paraId="0D143115">
            <w:pPr>
              <w:pStyle w:val="6"/>
              <w:spacing w:line="369" w:lineRule="auto"/>
            </w:pPr>
          </w:p>
          <w:p w14:paraId="4545D420">
            <w:pPr>
              <w:spacing w:before="81" w:line="231" w:lineRule="auto"/>
              <w:ind w:left="256" w:right="121" w:hanging="120"/>
              <w:rPr>
                <w:rFonts w:ascii="宋体" w:hAnsi="宋体" w:eastAsia="宋体" w:cs="宋体"/>
                <w:sz w:val="25"/>
                <w:szCs w:val="25"/>
              </w:rPr>
            </w:pPr>
            <w:r>
              <w:rPr>
                <w:rFonts w:ascii="宋体" w:hAnsi="宋体" w:eastAsia="宋体" w:cs="宋体"/>
                <w:spacing w:val="2"/>
                <w:sz w:val="25"/>
                <w:szCs w:val="25"/>
              </w:rPr>
              <w:t>带动新车</w:t>
            </w:r>
            <w:r>
              <w:rPr>
                <w:rFonts w:ascii="宋体" w:hAnsi="宋体" w:eastAsia="宋体" w:cs="宋体"/>
                <w:spacing w:val="1"/>
                <w:sz w:val="25"/>
                <w:szCs w:val="25"/>
              </w:rPr>
              <w:t xml:space="preserve"> </w:t>
            </w:r>
            <w:r>
              <w:rPr>
                <w:rFonts w:ascii="宋体" w:hAnsi="宋体" w:eastAsia="宋体" w:cs="宋体"/>
                <w:spacing w:val="3"/>
                <w:sz w:val="25"/>
                <w:szCs w:val="25"/>
              </w:rPr>
              <w:t>销售额</w:t>
            </w:r>
            <w:r>
              <w:rPr>
                <w:rFonts w:ascii="宋体" w:hAnsi="宋体" w:eastAsia="宋体" w:cs="宋体"/>
                <w:sz w:val="25"/>
                <w:szCs w:val="25"/>
              </w:rPr>
              <w:t xml:space="preserve">  </w:t>
            </w:r>
            <w:r>
              <w:rPr>
                <w:rFonts w:ascii="宋体" w:hAnsi="宋体" w:eastAsia="宋体" w:cs="宋体"/>
                <w:spacing w:val="13"/>
                <w:sz w:val="25"/>
                <w:szCs w:val="25"/>
              </w:rPr>
              <w:t>(万元)</w:t>
            </w:r>
          </w:p>
        </w:tc>
        <w:tc>
          <w:tcPr>
            <w:tcW w:w="1289" w:type="dxa"/>
            <w:vAlign w:val="top"/>
          </w:tcPr>
          <w:p w14:paraId="01C9E7DF">
            <w:pPr>
              <w:pStyle w:val="6"/>
              <w:spacing w:line="378" w:lineRule="auto"/>
            </w:pPr>
          </w:p>
          <w:p w14:paraId="2D43C4DC">
            <w:pPr>
              <w:spacing w:before="82" w:line="232" w:lineRule="auto"/>
              <w:ind w:left="268" w:right="251" w:firstLine="119"/>
              <w:rPr>
                <w:rFonts w:ascii="宋体" w:hAnsi="宋体" w:eastAsia="宋体" w:cs="宋体"/>
                <w:sz w:val="25"/>
                <w:szCs w:val="25"/>
              </w:rPr>
            </w:pPr>
            <w:r>
              <w:rPr>
                <w:rFonts w:ascii="宋体" w:hAnsi="宋体" w:eastAsia="宋体" w:cs="宋体"/>
                <w:spacing w:val="7"/>
                <w:sz w:val="25"/>
                <w:szCs w:val="25"/>
              </w:rPr>
              <w:t>家电</w:t>
            </w:r>
            <w:r>
              <w:rPr>
                <w:rFonts w:ascii="宋体" w:hAnsi="宋体" w:eastAsia="宋体" w:cs="宋体"/>
                <w:sz w:val="25"/>
                <w:szCs w:val="25"/>
              </w:rPr>
              <w:t xml:space="preserve">  </w:t>
            </w:r>
            <w:r>
              <w:rPr>
                <w:rFonts w:ascii="宋体" w:hAnsi="宋体" w:eastAsia="宋体" w:cs="宋体"/>
                <w:spacing w:val="3"/>
                <w:sz w:val="25"/>
                <w:szCs w:val="25"/>
              </w:rPr>
              <w:t>回收量</w:t>
            </w:r>
            <w:r>
              <w:rPr>
                <w:rFonts w:ascii="宋体" w:hAnsi="宋体" w:eastAsia="宋体" w:cs="宋体"/>
                <w:sz w:val="25"/>
                <w:szCs w:val="25"/>
              </w:rPr>
              <w:t xml:space="preserve"> </w:t>
            </w:r>
            <w:r>
              <w:rPr>
                <w:rFonts w:ascii="宋体" w:hAnsi="宋体" w:eastAsia="宋体" w:cs="宋体"/>
                <w:spacing w:val="33"/>
                <w:w w:val="115"/>
                <w:sz w:val="25"/>
                <w:szCs w:val="25"/>
              </w:rPr>
              <w:t>(台)</w:t>
            </w:r>
          </w:p>
        </w:tc>
        <w:tc>
          <w:tcPr>
            <w:tcW w:w="1309" w:type="dxa"/>
            <w:vAlign w:val="top"/>
          </w:tcPr>
          <w:p w14:paraId="2D99AEA9">
            <w:pPr>
              <w:pStyle w:val="6"/>
              <w:spacing w:line="378" w:lineRule="auto"/>
            </w:pPr>
          </w:p>
          <w:p w14:paraId="3C79719C">
            <w:pPr>
              <w:spacing w:before="82" w:line="219" w:lineRule="auto"/>
              <w:ind w:left="149"/>
              <w:rPr>
                <w:rFonts w:ascii="宋体" w:hAnsi="宋体" w:eastAsia="宋体" w:cs="宋体"/>
                <w:sz w:val="25"/>
                <w:szCs w:val="25"/>
              </w:rPr>
            </w:pPr>
            <w:r>
              <w:rPr>
                <w:rFonts w:ascii="宋体" w:hAnsi="宋体" w:eastAsia="宋体" w:cs="宋体"/>
                <w:spacing w:val="3"/>
                <w:sz w:val="25"/>
                <w:szCs w:val="25"/>
              </w:rPr>
              <w:t>带动家电</w:t>
            </w:r>
          </w:p>
          <w:p w14:paraId="7310C322">
            <w:pPr>
              <w:spacing w:before="13" w:line="219" w:lineRule="auto"/>
              <w:ind w:left="279"/>
              <w:rPr>
                <w:rFonts w:ascii="宋体" w:hAnsi="宋体" w:eastAsia="宋体" w:cs="宋体"/>
                <w:sz w:val="25"/>
                <w:szCs w:val="25"/>
              </w:rPr>
            </w:pPr>
            <w:r>
              <w:rPr>
                <w:rFonts w:ascii="宋体" w:hAnsi="宋体" w:eastAsia="宋体" w:cs="宋体"/>
                <w:spacing w:val="3"/>
                <w:sz w:val="25"/>
                <w:szCs w:val="25"/>
              </w:rPr>
              <w:t>销售额</w:t>
            </w:r>
          </w:p>
          <w:p w14:paraId="4E145BCE">
            <w:pPr>
              <w:spacing w:before="24" w:line="220" w:lineRule="auto"/>
              <w:ind w:left="279"/>
              <w:rPr>
                <w:rFonts w:ascii="宋体" w:hAnsi="宋体" w:eastAsia="宋体" w:cs="宋体"/>
                <w:sz w:val="25"/>
                <w:szCs w:val="25"/>
              </w:rPr>
            </w:pPr>
            <w:r>
              <w:rPr>
                <w:rFonts w:ascii="宋体" w:hAnsi="宋体" w:eastAsia="宋体" w:cs="宋体"/>
                <w:spacing w:val="13"/>
                <w:sz w:val="25"/>
                <w:szCs w:val="25"/>
              </w:rPr>
              <w:t>(万元)</w:t>
            </w:r>
          </w:p>
        </w:tc>
        <w:tc>
          <w:tcPr>
            <w:tcW w:w="1294" w:type="dxa"/>
            <w:vAlign w:val="top"/>
          </w:tcPr>
          <w:p w14:paraId="2100D8F5">
            <w:pPr>
              <w:pStyle w:val="6"/>
              <w:spacing w:line="368" w:lineRule="auto"/>
            </w:pPr>
          </w:p>
          <w:p w14:paraId="69AD9B3F">
            <w:pPr>
              <w:spacing w:before="82" w:line="219" w:lineRule="auto"/>
              <w:ind w:left="139"/>
              <w:rPr>
                <w:rFonts w:ascii="宋体" w:hAnsi="宋体" w:eastAsia="宋体" w:cs="宋体"/>
                <w:sz w:val="25"/>
                <w:szCs w:val="25"/>
              </w:rPr>
            </w:pPr>
            <w:r>
              <w:rPr>
                <w:rFonts w:ascii="宋体" w:hAnsi="宋体" w:eastAsia="宋体" w:cs="宋体"/>
                <w:spacing w:val="3"/>
                <w:sz w:val="25"/>
                <w:szCs w:val="25"/>
              </w:rPr>
              <w:t>带动家居</w:t>
            </w:r>
          </w:p>
          <w:p w14:paraId="7786E324">
            <w:pPr>
              <w:spacing w:before="23" w:line="219" w:lineRule="auto"/>
              <w:ind w:left="269"/>
              <w:rPr>
                <w:rFonts w:ascii="宋体" w:hAnsi="宋体" w:eastAsia="宋体" w:cs="宋体"/>
                <w:sz w:val="25"/>
                <w:szCs w:val="25"/>
              </w:rPr>
            </w:pPr>
            <w:r>
              <w:rPr>
                <w:rFonts w:ascii="宋体" w:hAnsi="宋体" w:eastAsia="宋体" w:cs="宋体"/>
                <w:spacing w:val="3"/>
                <w:sz w:val="25"/>
                <w:szCs w:val="25"/>
              </w:rPr>
              <w:t>销售额</w:t>
            </w:r>
          </w:p>
          <w:p w14:paraId="62FA167A">
            <w:pPr>
              <w:spacing w:before="34" w:line="220" w:lineRule="auto"/>
              <w:ind w:left="269"/>
              <w:rPr>
                <w:rFonts w:ascii="宋体" w:hAnsi="宋体" w:eastAsia="宋体" w:cs="宋体"/>
                <w:sz w:val="25"/>
                <w:szCs w:val="25"/>
              </w:rPr>
            </w:pPr>
            <w:r>
              <w:rPr>
                <w:rFonts w:ascii="宋体" w:hAnsi="宋体" w:eastAsia="宋体" w:cs="宋体"/>
                <w:spacing w:val="13"/>
                <w:sz w:val="25"/>
                <w:szCs w:val="25"/>
              </w:rPr>
              <w:t>(万元)</w:t>
            </w:r>
          </w:p>
        </w:tc>
      </w:tr>
      <w:tr w14:paraId="4FBC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04" w:type="dxa"/>
            <w:vAlign w:val="top"/>
          </w:tcPr>
          <w:p w14:paraId="124C88F5">
            <w:pPr>
              <w:pStyle w:val="6"/>
              <w:spacing w:line="255" w:lineRule="auto"/>
            </w:pPr>
          </w:p>
          <w:p w14:paraId="2EB3B9D2">
            <w:pPr>
              <w:spacing w:before="81" w:line="184" w:lineRule="auto"/>
              <w:ind w:left="325"/>
              <w:rPr>
                <w:rFonts w:ascii="宋体" w:hAnsi="宋体" w:eastAsia="宋体" w:cs="宋体"/>
                <w:sz w:val="25"/>
                <w:szCs w:val="25"/>
              </w:rPr>
            </w:pPr>
            <w:r>
              <w:rPr>
                <w:rFonts w:ascii="宋体" w:hAnsi="宋体" w:eastAsia="宋体" w:cs="宋体"/>
                <w:sz w:val="25"/>
                <w:szCs w:val="25"/>
              </w:rPr>
              <w:t>1</w:t>
            </w:r>
          </w:p>
        </w:tc>
        <w:tc>
          <w:tcPr>
            <w:tcW w:w="809" w:type="dxa"/>
            <w:vAlign w:val="top"/>
          </w:tcPr>
          <w:p w14:paraId="522D094D">
            <w:pPr>
              <w:pStyle w:val="6"/>
            </w:pPr>
          </w:p>
        </w:tc>
        <w:tc>
          <w:tcPr>
            <w:tcW w:w="1839" w:type="dxa"/>
            <w:vAlign w:val="top"/>
          </w:tcPr>
          <w:p w14:paraId="137109B3">
            <w:pPr>
              <w:pStyle w:val="6"/>
            </w:pPr>
          </w:p>
        </w:tc>
        <w:tc>
          <w:tcPr>
            <w:tcW w:w="1299" w:type="dxa"/>
            <w:vAlign w:val="top"/>
          </w:tcPr>
          <w:p w14:paraId="5FE14859">
            <w:pPr>
              <w:pStyle w:val="6"/>
            </w:pPr>
          </w:p>
        </w:tc>
        <w:tc>
          <w:tcPr>
            <w:tcW w:w="1289" w:type="dxa"/>
            <w:vAlign w:val="top"/>
          </w:tcPr>
          <w:p w14:paraId="0FC016E0">
            <w:pPr>
              <w:pStyle w:val="6"/>
            </w:pPr>
          </w:p>
        </w:tc>
        <w:tc>
          <w:tcPr>
            <w:tcW w:w="1289" w:type="dxa"/>
            <w:vAlign w:val="top"/>
          </w:tcPr>
          <w:p w14:paraId="621319CC">
            <w:pPr>
              <w:pStyle w:val="6"/>
            </w:pPr>
          </w:p>
        </w:tc>
        <w:tc>
          <w:tcPr>
            <w:tcW w:w="1289" w:type="dxa"/>
            <w:vAlign w:val="top"/>
          </w:tcPr>
          <w:p w14:paraId="5ACD912A">
            <w:pPr>
              <w:pStyle w:val="6"/>
            </w:pPr>
          </w:p>
        </w:tc>
        <w:tc>
          <w:tcPr>
            <w:tcW w:w="1279" w:type="dxa"/>
            <w:vAlign w:val="top"/>
          </w:tcPr>
          <w:p w14:paraId="42AA09F0">
            <w:pPr>
              <w:pStyle w:val="6"/>
            </w:pPr>
          </w:p>
        </w:tc>
        <w:tc>
          <w:tcPr>
            <w:tcW w:w="1289" w:type="dxa"/>
            <w:vAlign w:val="top"/>
          </w:tcPr>
          <w:p w14:paraId="7886EAE0">
            <w:pPr>
              <w:pStyle w:val="6"/>
            </w:pPr>
          </w:p>
        </w:tc>
        <w:tc>
          <w:tcPr>
            <w:tcW w:w="1309" w:type="dxa"/>
            <w:vAlign w:val="top"/>
          </w:tcPr>
          <w:p w14:paraId="1897FE47">
            <w:pPr>
              <w:pStyle w:val="6"/>
            </w:pPr>
          </w:p>
        </w:tc>
        <w:tc>
          <w:tcPr>
            <w:tcW w:w="1294" w:type="dxa"/>
            <w:vAlign w:val="top"/>
          </w:tcPr>
          <w:p w14:paraId="17333D14">
            <w:pPr>
              <w:pStyle w:val="6"/>
            </w:pPr>
          </w:p>
        </w:tc>
      </w:tr>
      <w:tr w14:paraId="0055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04" w:type="dxa"/>
            <w:vAlign w:val="top"/>
          </w:tcPr>
          <w:p w14:paraId="37675340">
            <w:pPr>
              <w:pStyle w:val="6"/>
              <w:spacing w:line="258" w:lineRule="auto"/>
            </w:pPr>
          </w:p>
          <w:p w14:paraId="6ECC33DB">
            <w:pPr>
              <w:spacing w:before="82" w:line="183" w:lineRule="auto"/>
              <w:ind w:left="325"/>
              <w:rPr>
                <w:rFonts w:ascii="宋体" w:hAnsi="宋体" w:eastAsia="宋体" w:cs="宋体"/>
                <w:sz w:val="25"/>
                <w:szCs w:val="25"/>
              </w:rPr>
            </w:pPr>
            <w:r>
              <w:rPr>
                <w:rFonts w:ascii="宋体" w:hAnsi="宋体" w:eastAsia="宋体" w:cs="宋体"/>
                <w:sz w:val="25"/>
                <w:szCs w:val="25"/>
              </w:rPr>
              <w:t>2</w:t>
            </w:r>
          </w:p>
        </w:tc>
        <w:tc>
          <w:tcPr>
            <w:tcW w:w="809" w:type="dxa"/>
            <w:vAlign w:val="top"/>
          </w:tcPr>
          <w:p w14:paraId="0F35E910">
            <w:pPr>
              <w:pStyle w:val="6"/>
            </w:pPr>
          </w:p>
        </w:tc>
        <w:tc>
          <w:tcPr>
            <w:tcW w:w="1839" w:type="dxa"/>
            <w:vAlign w:val="top"/>
          </w:tcPr>
          <w:p w14:paraId="61374BF7">
            <w:pPr>
              <w:pStyle w:val="6"/>
            </w:pPr>
          </w:p>
        </w:tc>
        <w:tc>
          <w:tcPr>
            <w:tcW w:w="1299" w:type="dxa"/>
            <w:vAlign w:val="top"/>
          </w:tcPr>
          <w:p w14:paraId="5BD9A31D">
            <w:pPr>
              <w:pStyle w:val="6"/>
            </w:pPr>
          </w:p>
        </w:tc>
        <w:tc>
          <w:tcPr>
            <w:tcW w:w="1289" w:type="dxa"/>
            <w:vAlign w:val="top"/>
          </w:tcPr>
          <w:p w14:paraId="04E6D9A1">
            <w:pPr>
              <w:pStyle w:val="6"/>
            </w:pPr>
          </w:p>
        </w:tc>
        <w:tc>
          <w:tcPr>
            <w:tcW w:w="1289" w:type="dxa"/>
            <w:vAlign w:val="top"/>
          </w:tcPr>
          <w:p w14:paraId="6A372A44">
            <w:pPr>
              <w:pStyle w:val="6"/>
            </w:pPr>
          </w:p>
        </w:tc>
        <w:tc>
          <w:tcPr>
            <w:tcW w:w="1289" w:type="dxa"/>
            <w:vAlign w:val="top"/>
          </w:tcPr>
          <w:p w14:paraId="2A247AF5">
            <w:pPr>
              <w:pStyle w:val="6"/>
            </w:pPr>
          </w:p>
        </w:tc>
        <w:tc>
          <w:tcPr>
            <w:tcW w:w="1279" w:type="dxa"/>
            <w:vAlign w:val="top"/>
          </w:tcPr>
          <w:p w14:paraId="3CEAB016">
            <w:pPr>
              <w:pStyle w:val="6"/>
            </w:pPr>
          </w:p>
        </w:tc>
        <w:tc>
          <w:tcPr>
            <w:tcW w:w="1289" w:type="dxa"/>
            <w:vAlign w:val="top"/>
          </w:tcPr>
          <w:p w14:paraId="455F5706">
            <w:pPr>
              <w:pStyle w:val="6"/>
            </w:pPr>
          </w:p>
        </w:tc>
        <w:tc>
          <w:tcPr>
            <w:tcW w:w="1309" w:type="dxa"/>
            <w:vAlign w:val="top"/>
          </w:tcPr>
          <w:p w14:paraId="747ED01F">
            <w:pPr>
              <w:pStyle w:val="6"/>
            </w:pPr>
          </w:p>
        </w:tc>
        <w:tc>
          <w:tcPr>
            <w:tcW w:w="1294" w:type="dxa"/>
            <w:vAlign w:val="top"/>
          </w:tcPr>
          <w:p w14:paraId="4CA52934">
            <w:pPr>
              <w:pStyle w:val="6"/>
            </w:pPr>
          </w:p>
        </w:tc>
      </w:tr>
      <w:tr w14:paraId="5222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04" w:type="dxa"/>
            <w:vAlign w:val="top"/>
          </w:tcPr>
          <w:p w14:paraId="33087DE3">
            <w:pPr>
              <w:pStyle w:val="6"/>
              <w:spacing w:line="260" w:lineRule="auto"/>
            </w:pPr>
          </w:p>
          <w:p w14:paraId="23132788">
            <w:pPr>
              <w:spacing w:before="82" w:line="183" w:lineRule="auto"/>
              <w:ind w:left="325"/>
              <w:rPr>
                <w:rFonts w:ascii="宋体" w:hAnsi="宋体" w:eastAsia="宋体" w:cs="宋体"/>
                <w:sz w:val="25"/>
                <w:szCs w:val="25"/>
              </w:rPr>
            </w:pPr>
            <w:r>
              <w:rPr>
                <w:rFonts w:ascii="宋体" w:hAnsi="宋体" w:eastAsia="宋体" w:cs="宋体"/>
                <w:sz w:val="25"/>
                <w:szCs w:val="25"/>
              </w:rPr>
              <w:t>3</w:t>
            </w:r>
          </w:p>
        </w:tc>
        <w:tc>
          <w:tcPr>
            <w:tcW w:w="809" w:type="dxa"/>
            <w:vAlign w:val="top"/>
          </w:tcPr>
          <w:p w14:paraId="67814B2C">
            <w:pPr>
              <w:pStyle w:val="6"/>
            </w:pPr>
          </w:p>
        </w:tc>
        <w:tc>
          <w:tcPr>
            <w:tcW w:w="1839" w:type="dxa"/>
            <w:vAlign w:val="top"/>
          </w:tcPr>
          <w:p w14:paraId="252C20A6">
            <w:pPr>
              <w:pStyle w:val="6"/>
            </w:pPr>
          </w:p>
        </w:tc>
        <w:tc>
          <w:tcPr>
            <w:tcW w:w="1299" w:type="dxa"/>
            <w:vAlign w:val="top"/>
          </w:tcPr>
          <w:p w14:paraId="16E012A6">
            <w:pPr>
              <w:pStyle w:val="6"/>
            </w:pPr>
          </w:p>
        </w:tc>
        <w:tc>
          <w:tcPr>
            <w:tcW w:w="1289" w:type="dxa"/>
            <w:vAlign w:val="top"/>
          </w:tcPr>
          <w:p w14:paraId="48C2DFD7">
            <w:pPr>
              <w:pStyle w:val="6"/>
            </w:pPr>
          </w:p>
        </w:tc>
        <w:tc>
          <w:tcPr>
            <w:tcW w:w="1289" w:type="dxa"/>
            <w:vAlign w:val="top"/>
          </w:tcPr>
          <w:p w14:paraId="7E89C724">
            <w:pPr>
              <w:pStyle w:val="6"/>
            </w:pPr>
          </w:p>
        </w:tc>
        <w:tc>
          <w:tcPr>
            <w:tcW w:w="1289" w:type="dxa"/>
            <w:vAlign w:val="top"/>
          </w:tcPr>
          <w:p w14:paraId="445C1A61">
            <w:pPr>
              <w:pStyle w:val="6"/>
            </w:pPr>
          </w:p>
        </w:tc>
        <w:tc>
          <w:tcPr>
            <w:tcW w:w="1279" w:type="dxa"/>
            <w:vAlign w:val="top"/>
          </w:tcPr>
          <w:p w14:paraId="6F64D06D">
            <w:pPr>
              <w:pStyle w:val="6"/>
            </w:pPr>
          </w:p>
        </w:tc>
        <w:tc>
          <w:tcPr>
            <w:tcW w:w="1289" w:type="dxa"/>
            <w:vAlign w:val="top"/>
          </w:tcPr>
          <w:p w14:paraId="105A2AFA">
            <w:pPr>
              <w:pStyle w:val="6"/>
            </w:pPr>
          </w:p>
        </w:tc>
        <w:tc>
          <w:tcPr>
            <w:tcW w:w="1309" w:type="dxa"/>
            <w:vAlign w:val="top"/>
          </w:tcPr>
          <w:p w14:paraId="077F722D">
            <w:pPr>
              <w:pStyle w:val="6"/>
            </w:pPr>
          </w:p>
        </w:tc>
        <w:tc>
          <w:tcPr>
            <w:tcW w:w="1294" w:type="dxa"/>
            <w:vAlign w:val="top"/>
          </w:tcPr>
          <w:p w14:paraId="3AD4A3E4">
            <w:pPr>
              <w:pStyle w:val="6"/>
            </w:pPr>
          </w:p>
        </w:tc>
      </w:tr>
    </w:tbl>
    <w:p w14:paraId="4FE55C4F">
      <w:pPr>
        <w:spacing w:before="88" w:line="222" w:lineRule="auto"/>
        <w:ind w:left="1419"/>
        <w:rPr>
          <w:rFonts w:ascii="宋体" w:hAnsi="宋体" w:eastAsia="宋体" w:cs="宋体"/>
          <w:sz w:val="27"/>
          <w:szCs w:val="27"/>
        </w:rPr>
      </w:pPr>
      <w:r>
        <w:rPr>
          <w:rFonts w:ascii="宋体" w:hAnsi="宋体" w:eastAsia="宋体" w:cs="宋体"/>
          <w:spacing w:val="3"/>
          <w:sz w:val="27"/>
          <w:szCs w:val="27"/>
        </w:rPr>
        <w:t>填报单位(盖章):</w:t>
      </w:r>
      <w:r>
        <w:rPr>
          <w:rFonts w:ascii="宋体" w:hAnsi="宋体" w:eastAsia="宋体" w:cs="宋体"/>
          <w:spacing w:val="2"/>
          <w:sz w:val="27"/>
          <w:szCs w:val="27"/>
        </w:rPr>
        <w:t xml:space="preserve">                                                   </w:t>
      </w:r>
      <w:r>
        <w:rPr>
          <w:rFonts w:ascii="宋体" w:hAnsi="宋体" w:eastAsia="宋体" w:cs="宋体"/>
          <w:spacing w:val="1"/>
          <w:sz w:val="27"/>
          <w:szCs w:val="27"/>
        </w:rPr>
        <w:t xml:space="preserve">               </w:t>
      </w:r>
      <w:r>
        <w:rPr>
          <w:rFonts w:ascii="宋体" w:hAnsi="宋体" w:eastAsia="宋体" w:cs="宋体"/>
          <w:spacing w:val="3"/>
          <w:position w:val="-1"/>
          <w:sz w:val="27"/>
          <w:szCs w:val="27"/>
        </w:rPr>
        <w:t>填报时间：</w:t>
      </w:r>
    </w:p>
    <w:p w14:paraId="781141D5">
      <w:pPr>
        <w:spacing w:before="34" w:line="219" w:lineRule="auto"/>
        <w:ind w:left="1479"/>
        <w:rPr>
          <w:rFonts w:ascii="宋体" w:hAnsi="宋体" w:eastAsia="宋体" w:cs="宋体"/>
          <w:sz w:val="27"/>
          <w:szCs w:val="27"/>
        </w:rPr>
      </w:pPr>
      <w:r>
        <w:rPr>
          <w:rFonts w:ascii="宋体" w:hAnsi="宋体" w:eastAsia="宋体" w:cs="宋体"/>
          <w:spacing w:val="1"/>
          <w:sz w:val="27"/>
          <w:szCs w:val="27"/>
        </w:rPr>
        <w:t>备注：政府、协会、企业等举办的活动均在填报范围内</w:t>
      </w:r>
    </w:p>
    <w:p w14:paraId="22B0CC4A">
      <w:pPr>
        <w:spacing w:line="244" w:lineRule="auto"/>
        <w:rPr>
          <w:rFonts w:ascii="Arial"/>
          <w:sz w:val="21"/>
        </w:rPr>
        <w:sectPr>
          <w:pgSz w:w="16840" w:h="11900" w:orient="landscape"/>
          <w:pgMar w:top="1800" w:right="1440" w:bottom="1800" w:left="1440" w:header="0" w:footer="0" w:gutter="0"/>
          <w:cols w:space="720" w:num="1"/>
        </w:sectPr>
      </w:pPr>
    </w:p>
    <w:p w14:paraId="451211B9">
      <w:pPr>
        <w:pStyle w:val="2"/>
        <w:spacing w:line="295" w:lineRule="auto"/>
        <w:jc w:val="center"/>
        <w:rPr>
          <w:rFonts w:hint="eastAsia" w:ascii="黑体" w:hAnsi="黑体" w:eastAsia="黑体" w:cs="黑体"/>
          <w:sz w:val="44"/>
          <w:szCs w:val="44"/>
        </w:rPr>
      </w:pPr>
      <w:r>
        <w:rPr>
          <w:rFonts w:hint="eastAsia" w:ascii="黑体" w:hAnsi="黑体" w:eastAsia="黑体" w:cs="黑体"/>
          <w:sz w:val="44"/>
          <w:szCs w:val="44"/>
        </w:rPr>
        <w:t>南阳市推动消费品以旧换新实施方案</w:t>
      </w:r>
    </w:p>
    <w:p w14:paraId="3F13D880">
      <w:pPr>
        <w:pStyle w:val="2"/>
        <w:spacing w:line="295" w:lineRule="auto"/>
        <w:rPr>
          <w:rFonts w:hint="eastAsia" w:ascii="仿宋" w:hAnsi="仿宋" w:eastAsia="仿宋" w:cs="仿宋"/>
          <w:sz w:val="32"/>
          <w:szCs w:val="32"/>
        </w:rPr>
      </w:pPr>
    </w:p>
    <w:p w14:paraId="551E6D25">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为深入贯彻党中央、国务院及省委、省政府决策部署，按 照《商务部等14部门关于印发〈推动消费品以旧换新行动方案〉的通知》《河南省商务厅等19部门关于印发&lt;河南省推动 消费品以旧换新实施方案&gt;的通知》有关要求，在全市开展汽 车、家电以旧换新和家装厨卫“焕新”,制定本实施方案。</w:t>
      </w:r>
    </w:p>
    <w:p w14:paraId="7F874E88">
      <w:pPr>
        <w:pStyle w:val="2"/>
        <w:spacing w:line="295" w:lineRule="auto"/>
        <w:ind w:firstLine="643" w:firstLineChars="200"/>
        <w:rPr>
          <w:rFonts w:hint="eastAsia" w:ascii="仿宋" w:hAnsi="仿宋" w:eastAsia="仿宋" w:cs="仿宋"/>
          <w:b/>
          <w:bCs/>
          <w:sz w:val="32"/>
          <w:szCs w:val="32"/>
        </w:rPr>
      </w:pPr>
      <w:r>
        <w:rPr>
          <w:rFonts w:hint="eastAsia" w:ascii="黑体" w:hAnsi="黑体" w:eastAsia="黑体" w:cs="黑体"/>
          <w:b/>
          <w:bCs/>
          <w:sz w:val="32"/>
          <w:szCs w:val="32"/>
        </w:rPr>
        <w:t>一、总体要求</w:t>
      </w:r>
    </w:p>
    <w:p w14:paraId="3BB4DE2D">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顺应消费市场新趋势，以技术、能耗、排放等标准为牵引， 开展汽车以旧换新、家电以旧换新和家装厨卫“焕新”,省、 市财政联动，通过政府引导、企业让利等方式，畅通消费品更 新换代链条，推动更多高质量耐用消费品进入居民生活，更好 满足人民群众美好生活需要。</w:t>
      </w:r>
    </w:p>
    <w:p w14:paraId="17FB246D">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力争到2025年，报废汽车回收量较2023年增长50%,废 旧家电回收量较2023年增长15%;到2027年，报废汽车回收 量较2023年增加一倍，二手车交易量较2023年增长45%,废 旧家电回收量较2023年增长30%,二手车、废旧家电等再生 资源回收体系更加规范完善。</w:t>
      </w:r>
    </w:p>
    <w:p w14:paraId="33AC57A8">
      <w:pPr>
        <w:pStyle w:val="2"/>
        <w:spacing w:line="295"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14:paraId="75F57F15">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(一)推动汽车以旧换新</w:t>
      </w:r>
    </w:p>
    <w:p w14:paraId="583CD50B">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以支持汽车报废更新为重点，加快老旧汽车淘汰，鼓励二 手车置换和出口，全链条促进汽车以旧换新。</w:t>
      </w:r>
    </w:p>
    <w:p w14:paraId="5E7F5153">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1.强化汽车报废更新政策支持。用好国家补助政策红利， 统筹使用各级财政资金推动汽车报废更新，落实好河南省商务 厅、河南省财政厅印发的《河南省汽车以旧换新补贴实施细 则》,市级商务、财政部门按国家及省相应政策标准和程序审 核并发放补贴。(市商务局、财政局、税务局、公安局、工业 和信息化局等按职责分工负责)</w:t>
      </w:r>
    </w:p>
    <w:p w14:paraId="7CE6E05C">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2.完善回收拆解体系。因地制宜优化报废机动车回收拆解 产业布局，引导企业提升回收服务水平，推广上门收车服务模 式。鼓励报废机动车回收拆解企业提高资源综合利用水平。规 范报废机动车回收拆解企业经营行为，依法查处非法拆解等违 法活动，有效防范安全环保风险。支持各县(市、区)争取将 资源循环利用重点项目纳入中央预算内投资等支持范围。(市商务局、生态环境局、工业和信息化局、交通运输局、公安局、 财政局等按职责分工负责)</w:t>
      </w:r>
    </w:p>
    <w:p w14:paraId="0385A93D">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3.鼓励二手车置换更新。支持各县(市、区)通过“政府 支持、企业让利”的方式支持汽车置换更新，对转让本人名下 的乘用车(取得有效的《二手车销售统一发票》)并购买新汽 车的消费者给予补贴，积极争取省财政奖补资金。鼓励购买新 能源汽车，各县(市、区)可根据实际加大对置换购买新能源 乘用车的补贴力度。鼓励汽车生产企业、销售企业开展二手车 置换补贴和叠加优惠让利活动，与政府补贴形成叠加效应。(市 商务局、财政局等按职责分工负责)</w:t>
      </w:r>
    </w:p>
    <w:p w14:paraId="6BC8711B">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4.促进二手车放心便利交易。支持二手车销售由经纪转经 销，落实二手车销售“反向开票”、异地交易登记等便利化措施，破除各类隐形障碍。推动新能源二手车动力电池检测和估 值平台建设，引导二手车经销企业提供并展示车辆状况表，明 示车辆基本信息、重要配置、价格等内容。(市商务局、公安 局、交通运输局、市场监督管理局、税务局等按职责分工负责)</w:t>
      </w:r>
    </w:p>
    <w:p w14:paraId="70F31BA4">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5、扩大二手车出口。落实二手车出口管理措施，提高二手 车出口质量，鼓励支持有条件的企业申报二手车出口资质。优 化二手车出口许可证办理、报关通关、车辆注销等流程，支持  其提升国际竞争力，持续拓展海外市场。鼓励有条件的县(市、 区)对二手车出口业务给予奖励支持。(市商务局、交通运输  局、公安局、南阳海关等按职责分工负责)</w:t>
      </w:r>
    </w:p>
    <w:p w14:paraId="35CCE8DD">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6.健全汽车消费配套措施。积极争取国家城市汽车流通消 费改革试点，健全部门间信息共享机制，推动建设汽车全生命 周期信息交互系统。支持汽车改装、汽车租赁、房车露营、传 统经典车等汽车后市场规范发展，促进汽车从交通工具向生活 空间转变。鼓励各县(市、区)出台支持政策，完善充电、停 车、智慧交通等基础设施。(市发展和改革委员会、工业和信 息化局、财政局、自然资源和规划局、住房和城乡建设局、交 通运输局、商务局等按职责分工负责)</w:t>
      </w:r>
    </w:p>
    <w:p w14:paraId="15CA4694">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(二)推动家电以旧换新</w:t>
      </w:r>
    </w:p>
    <w:p w14:paraId="1310F046">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以支持废旧家电回收体系改造提升为重点，打造回收网络 化、运管数字化、服务便捷化、循环产业化的回收体系，畅通 家电更新消费循环。</w:t>
      </w:r>
    </w:p>
    <w:p w14:paraId="4D2A8647">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1.举办家电以旧换新活动。鼓励各县(市、区)对消费者 交售废旧家电并新购绿色智能家电、智能电子产品给予补贴，具体补贴标准和方式由各地结合实际制定实施，争取省财政奖 补。支持家电销售企业联合生产企业、回收企业开展以旧换新 促销活动，开设线上线下家电以旧换新专区，开展叠加让利， 对家电以旧换新的消费者给予优惠。支持大型平台企业开展家 电以旧换新活动。(市商务局、财政局等按职责分工负责)</w:t>
      </w:r>
    </w:p>
    <w:p w14:paraId="29E410CF">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2.发挥财税政策引导作用。充分利用县域商业体系建设等 现有资金渠道，改造提升家电回收网络，支持回收网点、分拣 中心、拆解设施等项目建设。落实废弃电器电子产品处理相关 资金政策，支持废弃电器电子产品处理企业发展，畅通回收处 理全链条。精准对资源回收企业向自然人报废产品出售者“反 向开票”做好相关政策辅导，精细提供服务。落实再生资源回 收企业增值税简易征收政策及所得税征管配套措施，优化税收 征管标准和方式。(市商务局、发展和改革委员会、财政局、生态环境局、税务局等按职责分工负责)</w:t>
      </w:r>
    </w:p>
    <w:p w14:paraId="18C7153E">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3.完善废旧家电回收网络。强化废旧家电等再生资源回收  网络公益属性，做好再生资源回收网点规划，科学布局“社区  回收点、街道中转站、县(市、区)分拣中心”三级回收体系。 推动生活垃圾收运网络和再生资源回收网络在规划、建设和运  营等方面“两网”融合。鼓励大型家电销售、回收、拆解等企  业建立社区直营回收网点，延伸回收链条。鼓励回收企业以连 锁经营、协议合作、特许经营等方式，承担废旧家电回收责任， 整合个体回收经营者，提高组织化程度。(市商务局、住房和 城乡建设局、自然资源和规划局、供销社等按职责分工负责)</w:t>
      </w:r>
    </w:p>
    <w:p w14:paraId="204666FF">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4.培育多元化规模化回收主体。积极申报国家级、省级废旧家电等再生资源回收典型城市，争取省财政支持。鼓励商超、 家电卖场、电商平台等流通企业与生产企业加强合作，发挥产 销衔接、商品集散的渠道优势，促进废旧家电回收。(市商务局、财政局、供销社等按职责分工负责)</w:t>
      </w:r>
    </w:p>
    <w:p w14:paraId="022F8972">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5.探索创新回收模式。支持回收企业综合运用专业APP、 应用小程序等开展“线上预约、线下回收”,提供家电收旧、 送新、拆装“一站式”服务。支持各地推广“以车代库”等灵 活回收模式，指导流动回收车定点、定时进入街道、社区回收 废旧家电。支持供销社等回收企业与政府机关、企事业单位等 建立稳定合作关系，共同构建废旧办公设备、办公家具统一回 收平台，形成线上线下融合发展新模式。鼓励有条件的地区向 供销社等回收企业推广“公物仓”模式。(市商务局、供销社 等按职责分工负责)</w:t>
      </w:r>
    </w:p>
    <w:p w14:paraId="4FE6125A">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6.全面提升售后服务水平。遴选培育一批实力强、模式新、 示范带动作用突出的家电售后服务领跑企业，进一步扩大规范 售后服务覆盖范围。引导家电售后服务企业提供在线下单、预 约上门、配件自选等个性化服务，不断提升维修服务规范化水 平。(市商务局、工业和信息化局等按职责分工负责)</w:t>
      </w:r>
    </w:p>
    <w:p w14:paraId="2A44695A">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(三)推动家装厨卫“焕新”</w:t>
      </w:r>
    </w:p>
    <w:p w14:paraId="616B9692">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以支持房屋装修、改造为切入点，推动家装厨卫消费品“焕 新”,促进家居消费潜力释放。</w:t>
      </w:r>
    </w:p>
    <w:p w14:paraId="05D8A4DE">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1.支持重点领域家装消费品换新。通过政府支持、企业让 利等方式，充分发挥市场机制，做好家装“厨卫换新”促销活 动。鼓励居民开展旧房装修、局部升级改造、适老化改造、加装采暖设备等，推动智能家居在智慧厨房、健康卫浴、家庭安 防、养老监护等更多生活场景落地。鼓励企业创新打造体验式、 交互式家居消费场景，推动家装样板间进商场、进社区、进平  台。鼓励各县(市、区)对购买绿色智能家居产品给予补贴， 具体补贴标准和方式由各县(市、区)结合实际制定实施，积极 争取省财政奖补。(市商务局、住房和城乡建设局、民政局、 财政局等按职责分工负责)</w:t>
      </w:r>
    </w:p>
    <w:p w14:paraId="5CA5F977">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2.提升便民服务水平。鼓励街道、社区和居民小区设置“家 装便民服务点”,开展“诚信家装进社区”活动，提供家具临 时存放、家装信息咨询等服务。鼓励企业与社区共建公益维修 队，开展入户检修、评估，提供家装服务和家具产品团购套餐。 推广“互联网+回收”等模式，支持企业提供家居厨卫等消费 品上门“送新”、返程“收旧”服务。(市商务局、住房和城乡 建设局等按职责分工负责)</w:t>
      </w:r>
    </w:p>
    <w:p w14:paraId="2B97CE41">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三、组织实施</w:t>
      </w:r>
    </w:p>
    <w:p w14:paraId="5AA22525">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(一)加强组织领导。市商务、财政、工业和信息化部门  牵头，会同市发展改革、公安、民政、自然资源、生态环境、 住房城乡建设、交通运输、市场监管、税务、海关、供销等部 门单位建立工作协调机制，研究解决消费品以旧换新工作中遇 到的困难问题。各地要按照本实施方案细化落实举措，明确任 务分工，层层压实责任。(各地、各有关部门按职责分工负责)</w:t>
      </w:r>
    </w:p>
    <w:p w14:paraId="613CB6F9">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(二)强化要素保障。各地要积极争取各级财政相关资金， 做好废旧家电等再生资源回收体系建设项目推进工作，加强对 参与企业的教育、指导和监督。对弄虚作假骗补行为，要追回补贴资金，依法依规严肃查处。加大报废机动车回收拆解企业 建设项目用地支持力度，将废旧家电等再生资源回收设施用地 纳入地方公共基础设施用地范围，保障合理用地需求。因地制 宜，对废旧家电、家具等回收车辆通行区域、上路时段等予以 支持和规范。(市商务局、财政局、自然资源和规划局、公安 局、生态环境局等按职责分工负责)</w:t>
      </w:r>
    </w:p>
    <w:p w14:paraId="3E6DAB22">
      <w:pPr>
        <w:pStyle w:val="2"/>
        <w:spacing w:line="295"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(三)办好促进活动。开展政策宣传解读，宣传汽车、家 电、厨卫电器、灶具、洁具等消费品的建议使用年限、维修保 养周期等标准和信息，倡导绿色、安全消费理念。突出“消费 促进年”消费品以旧换新活动，支持举办新能源汽车消费季、 家电换新消费季、家居焕新消费季等活动，激发消费市场活力。 各县(市、区)每季度末报送消费品以旧换新情况。(市商务 局、工业和信息化局、生态环境局、住房和城乡建设局等按职 责分工负责)</w:t>
      </w:r>
    </w:p>
    <w:p w14:paraId="6ADE9714">
      <w:pPr>
        <w:pStyle w:val="2"/>
        <w:spacing w:line="295" w:lineRule="auto"/>
        <w:rPr>
          <w:rFonts w:hint="eastAsia" w:ascii="仿宋" w:hAnsi="仿宋" w:eastAsia="仿宋" w:cs="仿宋"/>
          <w:sz w:val="32"/>
          <w:szCs w:val="32"/>
        </w:rPr>
      </w:pPr>
    </w:p>
    <w:p w14:paraId="14F75036">
      <w:pPr>
        <w:pStyle w:val="2"/>
        <w:spacing w:line="295" w:lineRule="auto"/>
        <w:rPr>
          <w:rFonts w:hint="eastAsia" w:ascii="仿宋" w:hAnsi="仿宋" w:eastAsia="仿宋" w:cs="仿宋"/>
          <w:sz w:val="32"/>
          <w:szCs w:val="32"/>
        </w:rPr>
      </w:pPr>
    </w:p>
    <w:p w14:paraId="19202527">
      <w:pPr>
        <w:pStyle w:val="2"/>
        <w:spacing w:line="295" w:lineRule="auto"/>
        <w:rPr>
          <w:rFonts w:hint="eastAsia" w:ascii="仿宋" w:hAnsi="仿宋" w:eastAsia="仿宋" w:cs="仿宋"/>
          <w:sz w:val="32"/>
          <w:szCs w:val="32"/>
        </w:rPr>
      </w:pPr>
      <w:r>
        <w:rPr>
          <w:rFonts w:hint="eastAsia" w:ascii="仿宋" w:hAnsi="仿宋" w:eastAsia="仿宋" w:cs="仿宋"/>
          <w:sz w:val="32"/>
          <w:szCs w:val="32"/>
        </w:rPr>
        <w:t>附件：消费品以旧换新情况汇总表</w:t>
      </w:r>
    </w:p>
    <w:p w14:paraId="3C5BBF1E">
      <w:pPr>
        <w:pStyle w:val="2"/>
        <w:spacing w:line="295" w:lineRule="auto"/>
        <w:rPr>
          <w:rFonts w:hint="eastAsia" w:ascii="仿宋" w:hAnsi="仿宋" w:eastAsia="仿宋" w:cs="仿宋"/>
          <w:sz w:val="32"/>
          <w:szCs w:val="32"/>
        </w:rPr>
      </w:pPr>
    </w:p>
    <w:p w14:paraId="4DB4D6E8">
      <w:pPr>
        <w:pStyle w:val="2"/>
        <w:spacing w:line="295" w:lineRule="auto"/>
        <w:rPr>
          <w:rFonts w:hint="eastAsia" w:ascii="仿宋" w:hAnsi="仿宋" w:eastAsia="仿宋" w:cs="仿宋"/>
          <w:sz w:val="32"/>
          <w:szCs w:val="32"/>
        </w:rPr>
      </w:pPr>
    </w:p>
    <w:p w14:paraId="190BDFBD">
      <w:pPr>
        <w:spacing w:before="74" w:line="224" w:lineRule="auto"/>
        <w:rPr>
          <w:rFonts w:hint="eastAsia" w:ascii="仿宋" w:hAnsi="仿宋" w:eastAsia="仿宋" w:cs="仿宋"/>
          <w:spacing w:val="-11"/>
          <w:sz w:val="32"/>
          <w:szCs w:val="32"/>
        </w:rPr>
      </w:pPr>
    </w:p>
    <w:p w14:paraId="039D9F9C">
      <w:pPr>
        <w:spacing w:before="74" w:line="224" w:lineRule="auto"/>
        <w:rPr>
          <w:rFonts w:hint="eastAsia" w:ascii="仿宋" w:hAnsi="仿宋" w:eastAsia="仿宋" w:cs="仿宋"/>
          <w:spacing w:val="-11"/>
          <w:sz w:val="32"/>
          <w:szCs w:val="32"/>
        </w:rPr>
      </w:pPr>
    </w:p>
    <w:p w14:paraId="12309709">
      <w:pPr>
        <w:spacing w:before="74" w:line="224" w:lineRule="auto"/>
        <w:rPr>
          <w:rFonts w:hint="eastAsia" w:ascii="仿宋" w:hAnsi="仿宋" w:eastAsia="仿宋" w:cs="仿宋"/>
          <w:spacing w:val="-11"/>
          <w:sz w:val="32"/>
          <w:szCs w:val="32"/>
        </w:rPr>
      </w:pPr>
    </w:p>
    <w:p w14:paraId="6D4B84D5">
      <w:pPr>
        <w:spacing w:before="74" w:line="224" w:lineRule="auto"/>
        <w:rPr>
          <w:rFonts w:hint="eastAsia" w:ascii="仿宋" w:hAnsi="仿宋" w:eastAsia="仿宋" w:cs="仿宋"/>
          <w:spacing w:val="-11"/>
          <w:sz w:val="32"/>
          <w:szCs w:val="32"/>
        </w:rPr>
      </w:pPr>
    </w:p>
    <w:p w14:paraId="6DC9A189">
      <w:pPr>
        <w:spacing w:before="74" w:line="224" w:lineRule="auto"/>
        <w:rPr>
          <w:rFonts w:hint="eastAsia" w:ascii="仿宋" w:hAnsi="仿宋" w:eastAsia="仿宋" w:cs="仿宋"/>
          <w:spacing w:val="-11"/>
          <w:sz w:val="32"/>
          <w:szCs w:val="32"/>
        </w:rPr>
      </w:pPr>
    </w:p>
    <w:p w14:paraId="08827886">
      <w:pPr>
        <w:spacing w:before="74" w:line="224" w:lineRule="auto"/>
        <w:rPr>
          <w:rFonts w:hint="eastAsia" w:ascii="仿宋" w:hAnsi="仿宋" w:eastAsia="仿宋" w:cs="仿宋"/>
          <w:spacing w:val="-11"/>
          <w:sz w:val="32"/>
          <w:szCs w:val="32"/>
        </w:rPr>
      </w:pPr>
    </w:p>
    <w:p w14:paraId="65C9F6FE">
      <w:pPr>
        <w:spacing w:before="74" w:line="224" w:lineRule="auto"/>
        <w:rPr>
          <w:rFonts w:hint="eastAsia" w:ascii="仿宋" w:hAnsi="仿宋" w:eastAsia="仿宋" w:cs="仿宋"/>
          <w:spacing w:val="-11"/>
          <w:sz w:val="32"/>
          <w:szCs w:val="32"/>
        </w:rPr>
      </w:pPr>
    </w:p>
    <w:p w14:paraId="4615110F">
      <w:pPr>
        <w:spacing w:before="74" w:line="224" w:lineRule="auto"/>
        <w:rPr>
          <w:rFonts w:hint="eastAsia" w:ascii="仿宋" w:hAnsi="仿宋" w:eastAsia="仿宋" w:cs="仿宋"/>
          <w:spacing w:val="-11"/>
          <w:sz w:val="32"/>
          <w:szCs w:val="32"/>
        </w:rPr>
      </w:pPr>
    </w:p>
    <w:p w14:paraId="6DDA6085">
      <w:pPr>
        <w:spacing w:before="74" w:line="224" w:lineRule="auto"/>
        <w:rPr>
          <w:rFonts w:hint="eastAsia" w:ascii="仿宋" w:hAnsi="仿宋" w:eastAsia="仿宋" w:cs="仿宋"/>
          <w:spacing w:val="-11"/>
          <w:sz w:val="32"/>
          <w:szCs w:val="32"/>
        </w:rPr>
      </w:pPr>
    </w:p>
    <w:p w14:paraId="675D476B">
      <w:pPr>
        <w:spacing w:before="74" w:line="224" w:lineRule="auto"/>
        <w:rPr>
          <w:rFonts w:hint="eastAsia" w:ascii="仿宋" w:hAnsi="仿宋" w:eastAsia="仿宋" w:cs="仿宋"/>
          <w:spacing w:val="-11"/>
          <w:sz w:val="32"/>
          <w:szCs w:val="32"/>
        </w:rPr>
      </w:pPr>
    </w:p>
    <w:p w14:paraId="1D065471">
      <w:pPr>
        <w:spacing w:before="74" w:line="224" w:lineRule="auto"/>
        <w:rPr>
          <w:rFonts w:hint="eastAsia" w:ascii="仿宋" w:hAnsi="仿宋" w:eastAsia="仿宋" w:cs="仿宋"/>
          <w:spacing w:val="-11"/>
          <w:sz w:val="32"/>
          <w:szCs w:val="32"/>
        </w:rPr>
        <w:sectPr>
          <w:footerReference r:id="rId7" w:type="default"/>
          <w:pgSz w:w="11900" w:h="16840"/>
          <w:pgMar w:top="1440" w:right="1080" w:bottom="1440" w:left="1080" w:header="0" w:footer="0" w:gutter="0"/>
          <w:cols w:space="720" w:num="1"/>
        </w:sectPr>
      </w:pPr>
    </w:p>
    <w:p w14:paraId="75D078BD">
      <w:pPr>
        <w:spacing w:before="74" w:line="224" w:lineRule="auto"/>
        <w:rPr>
          <w:rFonts w:hint="eastAsia" w:ascii="仿宋" w:hAnsi="仿宋" w:eastAsia="仿宋" w:cs="仿宋"/>
          <w:spacing w:val="-11"/>
          <w:sz w:val="32"/>
          <w:szCs w:val="32"/>
        </w:rPr>
      </w:pPr>
    </w:p>
    <w:p w14:paraId="6260C594">
      <w:pPr>
        <w:spacing w:before="74" w:line="224" w:lineRule="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rPr>
        <w:t>附  件</w:t>
      </w:r>
      <w:r>
        <w:rPr>
          <w:rFonts w:hint="eastAsia" w:ascii="仿宋" w:hAnsi="仿宋" w:eastAsia="仿宋" w:cs="仿宋"/>
          <w:spacing w:val="-11"/>
          <w:sz w:val="32"/>
          <w:szCs w:val="32"/>
          <w:lang w:val="en-US" w:eastAsia="zh-CN"/>
        </w:rPr>
        <w:t xml:space="preserve">                </w:t>
      </w:r>
    </w:p>
    <w:p w14:paraId="1DC666B1">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消费品以旧换新情况汇总表</w:t>
      </w:r>
    </w:p>
    <w:p w14:paraId="2E97B7E1">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 xml:space="preserve">填报单位(盖章):                                     </w:t>
      </w:r>
      <w:r>
        <w:rPr>
          <w:rFonts w:hint="eastAsia" w:ascii="仿宋" w:hAnsi="仿宋" w:eastAsia="仿宋" w:cs="仿宋"/>
          <w:spacing w:val="-11"/>
          <w:sz w:val="32"/>
          <w:szCs w:val="32"/>
          <w:lang w:val="en-US" w:eastAsia="zh-CN"/>
        </w:rPr>
        <w:t>填报</w:t>
      </w:r>
      <w:r>
        <w:rPr>
          <w:rFonts w:hint="eastAsia" w:ascii="仿宋" w:hAnsi="仿宋" w:eastAsia="仿宋" w:cs="仿宋"/>
          <w:spacing w:val="-11"/>
          <w:sz w:val="32"/>
          <w:szCs w:val="32"/>
        </w:rPr>
        <w:t>时间：</w:t>
      </w:r>
    </w:p>
    <w:tbl>
      <w:tblPr>
        <w:tblStyle w:val="5"/>
        <w:tblpPr w:leftFromText="180" w:rightFromText="180" w:vertAnchor="text" w:horzAnchor="page" w:tblpX="1600" w:tblpY="219"/>
        <w:tblOverlap w:val="never"/>
        <w:tblW w:w="131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620"/>
        <w:gridCol w:w="1679"/>
        <w:gridCol w:w="909"/>
        <w:gridCol w:w="1349"/>
        <w:gridCol w:w="1339"/>
        <w:gridCol w:w="1439"/>
        <w:gridCol w:w="1229"/>
        <w:gridCol w:w="1239"/>
        <w:gridCol w:w="1279"/>
        <w:gridCol w:w="1424"/>
      </w:tblGrid>
      <w:tr w14:paraId="26E3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64" w:type="dxa"/>
            <w:vMerge w:val="restart"/>
            <w:tcBorders>
              <w:bottom w:val="nil"/>
            </w:tcBorders>
            <w:textDirection w:val="tbRlV"/>
            <w:vAlign w:val="top"/>
          </w:tcPr>
          <w:p w14:paraId="44586A6E">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序   号</w:t>
            </w:r>
          </w:p>
        </w:tc>
        <w:tc>
          <w:tcPr>
            <w:tcW w:w="620" w:type="dxa"/>
            <w:vMerge w:val="restart"/>
            <w:tcBorders>
              <w:bottom w:val="nil"/>
            </w:tcBorders>
            <w:textDirection w:val="tbRlV"/>
            <w:vAlign w:val="top"/>
          </w:tcPr>
          <w:p w14:paraId="55CCE073">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地   市</w:t>
            </w:r>
          </w:p>
        </w:tc>
        <w:tc>
          <w:tcPr>
            <w:tcW w:w="2588" w:type="dxa"/>
            <w:gridSpan w:val="2"/>
            <w:vAlign w:val="top"/>
          </w:tcPr>
          <w:p w14:paraId="481D860C">
            <w:pPr>
              <w:spacing w:before="74" w:line="224" w:lineRule="auto"/>
              <w:rPr>
                <w:rFonts w:hint="eastAsia" w:ascii="仿宋" w:hAnsi="仿宋" w:eastAsia="仿宋" w:cs="仿宋"/>
                <w:spacing w:val="-11"/>
                <w:sz w:val="32"/>
                <w:szCs w:val="32"/>
              </w:rPr>
            </w:pPr>
          </w:p>
          <w:p w14:paraId="0B39A1E9">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活动开展情况</w:t>
            </w:r>
          </w:p>
        </w:tc>
        <w:tc>
          <w:tcPr>
            <w:tcW w:w="2688" w:type="dxa"/>
            <w:gridSpan w:val="2"/>
            <w:vAlign w:val="top"/>
          </w:tcPr>
          <w:p w14:paraId="2EB2847E">
            <w:pPr>
              <w:spacing w:before="74" w:line="224" w:lineRule="auto"/>
              <w:rPr>
                <w:rFonts w:hint="eastAsia" w:ascii="仿宋" w:hAnsi="仿宋" w:eastAsia="仿宋" w:cs="仿宋"/>
                <w:spacing w:val="-11"/>
                <w:sz w:val="32"/>
                <w:szCs w:val="32"/>
              </w:rPr>
            </w:pPr>
          </w:p>
          <w:p w14:paraId="490E3631">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汽车报废更新情况</w:t>
            </w:r>
          </w:p>
        </w:tc>
        <w:tc>
          <w:tcPr>
            <w:tcW w:w="2668" w:type="dxa"/>
            <w:gridSpan w:val="2"/>
            <w:vAlign w:val="top"/>
          </w:tcPr>
          <w:p w14:paraId="5C703F6F">
            <w:pPr>
              <w:spacing w:before="74" w:line="224" w:lineRule="auto"/>
              <w:rPr>
                <w:rFonts w:hint="eastAsia" w:ascii="仿宋" w:hAnsi="仿宋" w:eastAsia="仿宋" w:cs="仿宋"/>
                <w:spacing w:val="-11"/>
                <w:sz w:val="32"/>
                <w:szCs w:val="32"/>
              </w:rPr>
            </w:pPr>
          </w:p>
          <w:p w14:paraId="39CA066D">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二手车置换更新情况</w:t>
            </w:r>
          </w:p>
        </w:tc>
        <w:tc>
          <w:tcPr>
            <w:tcW w:w="2518" w:type="dxa"/>
            <w:gridSpan w:val="2"/>
            <w:vAlign w:val="top"/>
          </w:tcPr>
          <w:p w14:paraId="6ED4253E">
            <w:pPr>
              <w:spacing w:before="74" w:line="224" w:lineRule="auto"/>
              <w:rPr>
                <w:rFonts w:hint="eastAsia" w:ascii="仿宋" w:hAnsi="仿宋" w:eastAsia="仿宋" w:cs="仿宋"/>
                <w:spacing w:val="-11"/>
                <w:sz w:val="32"/>
                <w:szCs w:val="32"/>
              </w:rPr>
            </w:pPr>
          </w:p>
          <w:p w14:paraId="4EFA4079">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家电以旧换新情况</w:t>
            </w:r>
          </w:p>
        </w:tc>
        <w:tc>
          <w:tcPr>
            <w:tcW w:w="1424" w:type="dxa"/>
            <w:vAlign w:val="top"/>
          </w:tcPr>
          <w:p w14:paraId="7B3D491E">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家装厨卫</w:t>
            </w:r>
          </w:p>
          <w:p w14:paraId="5586F592">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“焕新”情</w:t>
            </w:r>
          </w:p>
          <w:p w14:paraId="3D27A835">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况</w:t>
            </w:r>
          </w:p>
        </w:tc>
      </w:tr>
      <w:tr w14:paraId="4E1F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64" w:type="dxa"/>
            <w:vMerge w:val="continue"/>
            <w:tcBorders>
              <w:top w:val="nil"/>
            </w:tcBorders>
            <w:textDirection w:val="tbRlV"/>
            <w:vAlign w:val="top"/>
          </w:tcPr>
          <w:p w14:paraId="3D317934">
            <w:pPr>
              <w:spacing w:before="74" w:line="224" w:lineRule="auto"/>
              <w:rPr>
                <w:rFonts w:hint="eastAsia" w:ascii="仿宋" w:hAnsi="仿宋" w:eastAsia="仿宋" w:cs="仿宋"/>
                <w:spacing w:val="-11"/>
                <w:sz w:val="32"/>
                <w:szCs w:val="32"/>
              </w:rPr>
            </w:pPr>
          </w:p>
        </w:tc>
        <w:tc>
          <w:tcPr>
            <w:tcW w:w="620" w:type="dxa"/>
            <w:vMerge w:val="continue"/>
            <w:tcBorders>
              <w:top w:val="nil"/>
            </w:tcBorders>
            <w:textDirection w:val="tbRlV"/>
            <w:vAlign w:val="top"/>
          </w:tcPr>
          <w:p w14:paraId="5AE3997A">
            <w:pPr>
              <w:spacing w:before="74" w:line="224" w:lineRule="auto"/>
              <w:rPr>
                <w:rFonts w:hint="eastAsia" w:ascii="仿宋" w:hAnsi="仿宋" w:eastAsia="仿宋" w:cs="仿宋"/>
                <w:spacing w:val="-11"/>
                <w:sz w:val="32"/>
                <w:szCs w:val="32"/>
              </w:rPr>
            </w:pPr>
          </w:p>
        </w:tc>
        <w:tc>
          <w:tcPr>
            <w:tcW w:w="1679" w:type="dxa"/>
            <w:vAlign w:val="top"/>
          </w:tcPr>
          <w:p w14:paraId="1575C9C2">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活动简介(逐个 活动简要介绍  时间、地点、主 要内容及成效)</w:t>
            </w:r>
          </w:p>
        </w:tc>
        <w:tc>
          <w:tcPr>
            <w:tcW w:w="909" w:type="dxa"/>
            <w:vAlign w:val="top"/>
          </w:tcPr>
          <w:p w14:paraId="4C53A6FB">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活动场 次</w:t>
            </w:r>
          </w:p>
        </w:tc>
        <w:tc>
          <w:tcPr>
            <w:tcW w:w="1349" w:type="dxa"/>
            <w:vAlign w:val="top"/>
          </w:tcPr>
          <w:p w14:paraId="41FEE67E">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汽车报废更 新量(辆)</w:t>
            </w:r>
          </w:p>
        </w:tc>
        <w:tc>
          <w:tcPr>
            <w:tcW w:w="1339" w:type="dxa"/>
            <w:vAlign w:val="top"/>
          </w:tcPr>
          <w:p w14:paraId="0EFF9B14">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带动新车销 售额(万元)</w:t>
            </w:r>
          </w:p>
        </w:tc>
        <w:tc>
          <w:tcPr>
            <w:tcW w:w="1439" w:type="dxa"/>
            <w:vAlign w:val="top"/>
          </w:tcPr>
          <w:p w14:paraId="245EF65F">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二手车置换 更新量(辆)</w:t>
            </w:r>
          </w:p>
        </w:tc>
        <w:tc>
          <w:tcPr>
            <w:tcW w:w="1229" w:type="dxa"/>
            <w:vAlign w:val="top"/>
          </w:tcPr>
          <w:p w14:paraId="567FCC37">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带动新车</w:t>
            </w:r>
          </w:p>
          <w:p w14:paraId="6C1EC269">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销售额(万</w:t>
            </w:r>
          </w:p>
          <w:p w14:paraId="44433D71">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元 )</w:t>
            </w:r>
          </w:p>
        </w:tc>
        <w:tc>
          <w:tcPr>
            <w:tcW w:w="1239" w:type="dxa"/>
            <w:vAlign w:val="top"/>
          </w:tcPr>
          <w:p w14:paraId="78F29ECB">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家电回收 量 ( 台 )</w:t>
            </w:r>
          </w:p>
        </w:tc>
        <w:tc>
          <w:tcPr>
            <w:tcW w:w="1279" w:type="dxa"/>
            <w:vAlign w:val="top"/>
          </w:tcPr>
          <w:p w14:paraId="4B723949">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带动家电 销售额  (万元)</w:t>
            </w:r>
          </w:p>
        </w:tc>
        <w:tc>
          <w:tcPr>
            <w:tcW w:w="1424" w:type="dxa"/>
            <w:vAlign w:val="top"/>
          </w:tcPr>
          <w:p w14:paraId="620F4686">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带动家居</w:t>
            </w:r>
          </w:p>
          <w:p w14:paraId="7999DE46">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销售额(万</w:t>
            </w:r>
          </w:p>
          <w:p w14:paraId="4570F1CB">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元 )</w:t>
            </w:r>
          </w:p>
        </w:tc>
      </w:tr>
      <w:tr w14:paraId="11B5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vAlign w:val="top"/>
          </w:tcPr>
          <w:p w14:paraId="7504B78E">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1</w:t>
            </w:r>
          </w:p>
        </w:tc>
        <w:tc>
          <w:tcPr>
            <w:tcW w:w="620" w:type="dxa"/>
            <w:vAlign w:val="top"/>
          </w:tcPr>
          <w:p w14:paraId="1A9A269F">
            <w:pPr>
              <w:spacing w:before="74" w:line="224" w:lineRule="auto"/>
              <w:rPr>
                <w:rFonts w:hint="eastAsia" w:ascii="仿宋" w:hAnsi="仿宋" w:eastAsia="仿宋" w:cs="仿宋"/>
                <w:spacing w:val="-11"/>
                <w:sz w:val="32"/>
                <w:szCs w:val="32"/>
              </w:rPr>
            </w:pPr>
          </w:p>
        </w:tc>
        <w:tc>
          <w:tcPr>
            <w:tcW w:w="1679" w:type="dxa"/>
            <w:vAlign w:val="top"/>
          </w:tcPr>
          <w:p w14:paraId="45200C35">
            <w:pPr>
              <w:spacing w:before="74" w:line="224" w:lineRule="auto"/>
              <w:rPr>
                <w:rFonts w:hint="eastAsia" w:ascii="仿宋" w:hAnsi="仿宋" w:eastAsia="仿宋" w:cs="仿宋"/>
                <w:spacing w:val="-11"/>
                <w:sz w:val="32"/>
                <w:szCs w:val="32"/>
              </w:rPr>
            </w:pPr>
          </w:p>
        </w:tc>
        <w:tc>
          <w:tcPr>
            <w:tcW w:w="909" w:type="dxa"/>
            <w:vAlign w:val="top"/>
          </w:tcPr>
          <w:p w14:paraId="51895DA4">
            <w:pPr>
              <w:spacing w:before="74" w:line="224" w:lineRule="auto"/>
              <w:rPr>
                <w:rFonts w:hint="eastAsia" w:ascii="仿宋" w:hAnsi="仿宋" w:eastAsia="仿宋" w:cs="仿宋"/>
                <w:spacing w:val="-11"/>
                <w:sz w:val="32"/>
                <w:szCs w:val="32"/>
              </w:rPr>
            </w:pPr>
          </w:p>
        </w:tc>
        <w:tc>
          <w:tcPr>
            <w:tcW w:w="1349" w:type="dxa"/>
            <w:vAlign w:val="top"/>
          </w:tcPr>
          <w:p w14:paraId="78E8467F">
            <w:pPr>
              <w:spacing w:before="74" w:line="224" w:lineRule="auto"/>
              <w:rPr>
                <w:rFonts w:hint="eastAsia" w:ascii="仿宋" w:hAnsi="仿宋" w:eastAsia="仿宋" w:cs="仿宋"/>
                <w:spacing w:val="-11"/>
                <w:sz w:val="32"/>
                <w:szCs w:val="32"/>
              </w:rPr>
            </w:pPr>
          </w:p>
        </w:tc>
        <w:tc>
          <w:tcPr>
            <w:tcW w:w="1339" w:type="dxa"/>
            <w:vAlign w:val="top"/>
          </w:tcPr>
          <w:p w14:paraId="5D9864D9">
            <w:pPr>
              <w:spacing w:before="74" w:line="224" w:lineRule="auto"/>
              <w:rPr>
                <w:rFonts w:hint="eastAsia" w:ascii="仿宋" w:hAnsi="仿宋" w:eastAsia="仿宋" w:cs="仿宋"/>
                <w:spacing w:val="-11"/>
                <w:sz w:val="32"/>
                <w:szCs w:val="32"/>
              </w:rPr>
            </w:pPr>
          </w:p>
        </w:tc>
        <w:tc>
          <w:tcPr>
            <w:tcW w:w="1439" w:type="dxa"/>
            <w:vAlign w:val="top"/>
          </w:tcPr>
          <w:p w14:paraId="6B2A813B">
            <w:pPr>
              <w:spacing w:before="74" w:line="224" w:lineRule="auto"/>
              <w:rPr>
                <w:rFonts w:hint="eastAsia" w:ascii="仿宋" w:hAnsi="仿宋" w:eastAsia="仿宋" w:cs="仿宋"/>
                <w:spacing w:val="-11"/>
                <w:sz w:val="32"/>
                <w:szCs w:val="32"/>
              </w:rPr>
            </w:pPr>
          </w:p>
        </w:tc>
        <w:tc>
          <w:tcPr>
            <w:tcW w:w="1229" w:type="dxa"/>
            <w:vAlign w:val="top"/>
          </w:tcPr>
          <w:p w14:paraId="577F4058">
            <w:pPr>
              <w:spacing w:before="74" w:line="224" w:lineRule="auto"/>
              <w:rPr>
                <w:rFonts w:hint="eastAsia" w:ascii="仿宋" w:hAnsi="仿宋" w:eastAsia="仿宋" w:cs="仿宋"/>
                <w:spacing w:val="-11"/>
                <w:sz w:val="32"/>
                <w:szCs w:val="32"/>
              </w:rPr>
            </w:pPr>
          </w:p>
        </w:tc>
        <w:tc>
          <w:tcPr>
            <w:tcW w:w="1239" w:type="dxa"/>
            <w:vAlign w:val="top"/>
          </w:tcPr>
          <w:p w14:paraId="6A7D6AFF">
            <w:pPr>
              <w:spacing w:before="74" w:line="224" w:lineRule="auto"/>
              <w:rPr>
                <w:rFonts w:hint="eastAsia" w:ascii="仿宋" w:hAnsi="仿宋" w:eastAsia="仿宋" w:cs="仿宋"/>
                <w:spacing w:val="-11"/>
                <w:sz w:val="32"/>
                <w:szCs w:val="32"/>
              </w:rPr>
            </w:pPr>
          </w:p>
        </w:tc>
        <w:tc>
          <w:tcPr>
            <w:tcW w:w="1279" w:type="dxa"/>
            <w:vAlign w:val="top"/>
          </w:tcPr>
          <w:p w14:paraId="7363BC25">
            <w:pPr>
              <w:spacing w:before="74" w:line="224" w:lineRule="auto"/>
              <w:rPr>
                <w:rFonts w:hint="eastAsia" w:ascii="仿宋" w:hAnsi="仿宋" w:eastAsia="仿宋" w:cs="仿宋"/>
                <w:spacing w:val="-11"/>
                <w:sz w:val="32"/>
                <w:szCs w:val="32"/>
              </w:rPr>
            </w:pPr>
          </w:p>
        </w:tc>
        <w:tc>
          <w:tcPr>
            <w:tcW w:w="1424" w:type="dxa"/>
            <w:vAlign w:val="top"/>
          </w:tcPr>
          <w:p w14:paraId="44F18DDF">
            <w:pPr>
              <w:spacing w:before="74" w:line="224" w:lineRule="auto"/>
              <w:rPr>
                <w:rFonts w:hint="eastAsia" w:ascii="仿宋" w:hAnsi="仿宋" w:eastAsia="仿宋" w:cs="仿宋"/>
                <w:spacing w:val="-11"/>
                <w:sz w:val="32"/>
                <w:szCs w:val="32"/>
              </w:rPr>
            </w:pPr>
          </w:p>
        </w:tc>
      </w:tr>
      <w:tr w14:paraId="74B31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64" w:type="dxa"/>
            <w:vAlign w:val="top"/>
          </w:tcPr>
          <w:p w14:paraId="4A2B4888">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2</w:t>
            </w:r>
          </w:p>
        </w:tc>
        <w:tc>
          <w:tcPr>
            <w:tcW w:w="620" w:type="dxa"/>
            <w:vAlign w:val="top"/>
          </w:tcPr>
          <w:p w14:paraId="52E483FC">
            <w:pPr>
              <w:spacing w:before="74" w:line="224" w:lineRule="auto"/>
              <w:rPr>
                <w:rFonts w:hint="eastAsia" w:ascii="仿宋" w:hAnsi="仿宋" w:eastAsia="仿宋" w:cs="仿宋"/>
                <w:spacing w:val="-11"/>
                <w:sz w:val="32"/>
                <w:szCs w:val="32"/>
              </w:rPr>
            </w:pPr>
          </w:p>
        </w:tc>
        <w:tc>
          <w:tcPr>
            <w:tcW w:w="1679" w:type="dxa"/>
            <w:vAlign w:val="top"/>
          </w:tcPr>
          <w:p w14:paraId="39F1487E">
            <w:pPr>
              <w:spacing w:before="74" w:line="224" w:lineRule="auto"/>
              <w:rPr>
                <w:rFonts w:hint="eastAsia" w:ascii="仿宋" w:hAnsi="仿宋" w:eastAsia="仿宋" w:cs="仿宋"/>
                <w:spacing w:val="-11"/>
                <w:sz w:val="32"/>
                <w:szCs w:val="32"/>
              </w:rPr>
            </w:pPr>
          </w:p>
        </w:tc>
        <w:tc>
          <w:tcPr>
            <w:tcW w:w="909" w:type="dxa"/>
            <w:vAlign w:val="top"/>
          </w:tcPr>
          <w:p w14:paraId="714BDEF2">
            <w:pPr>
              <w:spacing w:before="74" w:line="224" w:lineRule="auto"/>
              <w:rPr>
                <w:rFonts w:hint="eastAsia" w:ascii="仿宋" w:hAnsi="仿宋" w:eastAsia="仿宋" w:cs="仿宋"/>
                <w:spacing w:val="-11"/>
                <w:sz w:val="32"/>
                <w:szCs w:val="32"/>
              </w:rPr>
            </w:pPr>
          </w:p>
        </w:tc>
        <w:tc>
          <w:tcPr>
            <w:tcW w:w="1349" w:type="dxa"/>
            <w:vAlign w:val="top"/>
          </w:tcPr>
          <w:p w14:paraId="7D6459E5">
            <w:pPr>
              <w:spacing w:before="74" w:line="224" w:lineRule="auto"/>
              <w:rPr>
                <w:rFonts w:hint="eastAsia" w:ascii="仿宋" w:hAnsi="仿宋" w:eastAsia="仿宋" w:cs="仿宋"/>
                <w:spacing w:val="-11"/>
                <w:sz w:val="32"/>
                <w:szCs w:val="32"/>
              </w:rPr>
            </w:pPr>
          </w:p>
        </w:tc>
        <w:tc>
          <w:tcPr>
            <w:tcW w:w="1339" w:type="dxa"/>
            <w:vAlign w:val="top"/>
          </w:tcPr>
          <w:p w14:paraId="2ED433E6">
            <w:pPr>
              <w:spacing w:before="74" w:line="224" w:lineRule="auto"/>
              <w:rPr>
                <w:rFonts w:hint="eastAsia" w:ascii="仿宋" w:hAnsi="仿宋" w:eastAsia="仿宋" w:cs="仿宋"/>
                <w:spacing w:val="-11"/>
                <w:sz w:val="32"/>
                <w:szCs w:val="32"/>
              </w:rPr>
            </w:pPr>
          </w:p>
        </w:tc>
        <w:tc>
          <w:tcPr>
            <w:tcW w:w="1439" w:type="dxa"/>
            <w:vAlign w:val="top"/>
          </w:tcPr>
          <w:p w14:paraId="63598DDD">
            <w:pPr>
              <w:spacing w:before="74" w:line="224" w:lineRule="auto"/>
              <w:rPr>
                <w:rFonts w:hint="eastAsia" w:ascii="仿宋" w:hAnsi="仿宋" w:eastAsia="仿宋" w:cs="仿宋"/>
                <w:spacing w:val="-11"/>
                <w:sz w:val="32"/>
                <w:szCs w:val="32"/>
              </w:rPr>
            </w:pPr>
          </w:p>
        </w:tc>
        <w:tc>
          <w:tcPr>
            <w:tcW w:w="1229" w:type="dxa"/>
            <w:vAlign w:val="top"/>
          </w:tcPr>
          <w:p w14:paraId="19D6FDD0">
            <w:pPr>
              <w:spacing w:before="74" w:line="224" w:lineRule="auto"/>
              <w:rPr>
                <w:rFonts w:hint="eastAsia" w:ascii="仿宋" w:hAnsi="仿宋" w:eastAsia="仿宋" w:cs="仿宋"/>
                <w:spacing w:val="-11"/>
                <w:sz w:val="32"/>
                <w:szCs w:val="32"/>
              </w:rPr>
            </w:pPr>
          </w:p>
        </w:tc>
        <w:tc>
          <w:tcPr>
            <w:tcW w:w="1239" w:type="dxa"/>
            <w:vAlign w:val="top"/>
          </w:tcPr>
          <w:p w14:paraId="07554F45">
            <w:pPr>
              <w:spacing w:before="74" w:line="224" w:lineRule="auto"/>
              <w:rPr>
                <w:rFonts w:hint="eastAsia" w:ascii="仿宋" w:hAnsi="仿宋" w:eastAsia="仿宋" w:cs="仿宋"/>
                <w:spacing w:val="-11"/>
                <w:sz w:val="32"/>
                <w:szCs w:val="32"/>
              </w:rPr>
            </w:pPr>
          </w:p>
        </w:tc>
        <w:tc>
          <w:tcPr>
            <w:tcW w:w="1279" w:type="dxa"/>
            <w:vAlign w:val="top"/>
          </w:tcPr>
          <w:p w14:paraId="22EC9F04">
            <w:pPr>
              <w:spacing w:before="74" w:line="224" w:lineRule="auto"/>
              <w:rPr>
                <w:rFonts w:hint="eastAsia" w:ascii="仿宋" w:hAnsi="仿宋" w:eastAsia="仿宋" w:cs="仿宋"/>
                <w:spacing w:val="-11"/>
                <w:sz w:val="32"/>
                <w:szCs w:val="32"/>
              </w:rPr>
            </w:pPr>
          </w:p>
        </w:tc>
        <w:tc>
          <w:tcPr>
            <w:tcW w:w="1424" w:type="dxa"/>
            <w:vAlign w:val="top"/>
          </w:tcPr>
          <w:p w14:paraId="0201799A">
            <w:pPr>
              <w:spacing w:before="74" w:line="224" w:lineRule="auto"/>
              <w:rPr>
                <w:rFonts w:hint="eastAsia" w:ascii="仿宋" w:hAnsi="仿宋" w:eastAsia="仿宋" w:cs="仿宋"/>
                <w:spacing w:val="-11"/>
                <w:sz w:val="32"/>
                <w:szCs w:val="32"/>
              </w:rPr>
            </w:pPr>
          </w:p>
        </w:tc>
      </w:tr>
      <w:tr w14:paraId="4FF6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64" w:type="dxa"/>
            <w:vAlign w:val="top"/>
          </w:tcPr>
          <w:p w14:paraId="7EE9256B">
            <w:pPr>
              <w:spacing w:before="74" w:line="224" w:lineRule="auto"/>
              <w:rPr>
                <w:rFonts w:hint="eastAsia" w:ascii="仿宋" w:hAnsi="仿宋" w:eastAsia="仿宋" w:cs="仿宋"/>
                <w:spacing w:val="-11"/>
                <w:sz w:val="32"/>
                <w:szCs w:val="32"/>
              </w:rPr>
            </w:pPr>
            <w:r>
              <w:rPr>
                <w:rFonts w:hint="eastAsia" w:ascii="仿宋" w:hAnsi="仿宋" w:eastAsia="仿宋" w:cs="仿宋"/>
                <w:spacing w:val="-11"/>
                <w:sz w:val="32"/>
                <w:szCs w:val="32"/>
              </w:rPr>
              <w:t>3</w:t>
            </w:r>
          </w:p>
        </w:tc>
        <w:tc>
          <w:tcPr>
            <w:tcW w:w="620" w:type="dxa"/>
            <w:vAlign w:val="top"/>
          </w:tcPr>
          <w:p w14:paraId="0A3D9D55">
            <w:pPr>
              <w:spacing w:before="74" w:line="224" w:lineRule="auto"/>
              <w:rPr>
                <w:rFonts w:hint="eastAsia" w:ascii="仿宋" w:hAnsi="仿宋" w:eastAsia="仿宋" w:cs="仿宋"/>
                <w:spacing w:val="-11"/>
                <w:sz w:val="32"/>
                <w:szCs w:val="32"/>
              </w:rPr>
            </w:pPr>
          </w:p>
        </w:tc>
        <w:tc>
          <w:tcPr>
            <w:tcW w:w="1679" w:type="dxa"/>
            <w:vAlign w:val="top"/>
          </w:tcPr>
          <w:p w14:paraId="0E03CF3F">
            <w:pPr>
              <w:spacing w:before="74" w:line="224" w:lineRule="auto"/>
              <w:rPr>
                <w:rFonts w:hint="eastAsia" w:ascii="仿宋" w:hAnsi="仿宋" w:eastAsia="仿宋" w:cs="仿宋"/>
                <w:spacing w:val="-11"/>
                <w:sz w:val="32"/>
                <w:szCs w:val="32"/>
              </w:rPr>
            </w:pPr>
          </w:p>
        </w:tc>
        <w:tc>
          <w:tcPr>
            <w:tcW w:w="909" w:type="dxa"/>
            <w:vAlign w:val="top"/>
          </w:tcPr>
          <w:p w14:paraId="0ECE0F37">
            <w:pPr>
              <w:spacing w:before="74" w:line="224" w:lineRule="auto"/>
              <w:rPr>
                <w:rFonts w:hint="eastAsia" w:ascii="仿宋" w:hAnsi="仿宋" w:eastAsia="仿宋" w:cs="仿宋"/>
                <w:spacing w:val="-11"/>
                <w:sz w:val="32"/>
                <w:szCs w:val="32"/>
              </w:rPr>
            </w:pPr>
          </w:p>
        </w:tc>
        <w:tc>
          <w:tcPr>
            <w:tcW w:w="1349" w:type="dxa"/>
            <w:vAlign w:val="top"/>
          </w:tcPr>
          <w:p w14:paraId="664136D8">
            <w:pPr>
              <w:spacing w:before="74" w:line="224" w:lineRule="auto"/>
              <w:rPr>
                <w:rFonts w:hint="eastAsia" w:ascii="仿宋" w:hAnsi="仿宋" w:eastAsia="仿宋" w:cs="仿宋"/>
                <w:spacing w:val="-11"/>
                <w:sz w:val="32"/>
                <w:szCs w:val="32"/>
              </w:rPr>
            </w:pPr>
          </w:p>
        </w:tc>
        <w:tc>
          <w:tcPr>
            <w:tcW w:w="1339" w:type="dxa"/>
            <w:vAlign w:val="top"/>
          </w:tcPr>
          <w:p w14:paraId="3691946D">
            <w:pPr>
              <w:spacing w:before="74" w:line="224" w:lineRule="auto"/>
              <w:rPr>
                <w:rFonts w:hint="eastAsia" w:ascii="仿宋" w:hAnsi="仿宋" w:eastAsia="仿宋" w:cs="仿宋"/>
                <w:spacing w:val="-11"/>
                <w:sz w:val="32"/>
                <w:szCs w:val="32"/>
              </w:rPr>
            </w:pPr>
          </w:p>
        </w:tc>
        <w:tc>
          <w:tcPr>
            <w:tcW w:w="1439" w:type="dxa"/>
            <w:vAlign w:val="top"/>
          </w:tcPr>
          <w:p w14:paraId="3CB86D1D">
            <w:pPr>
              <w:spacing w:before="74" w:line="224" w:lineRule="auto"/>
              <w:rPr>
                <w:rFonts w:hint="eastAsia" w:ascii="仿宋" w:hAnsi="仿宋" w:eastAsia="仿宋" w:cs="仿宋"/>
                <w:spacing w:val="-11"/>
                <w:sz w:val="32"/>
                <w:szCs w:val="32"/>
              </w:rPr>
            </w:pPr>
          </w:p>
        </w:tc>
        <w:tc>
          <w:tcPr>
            <w:tcW w:w="1229" w:type="dxa"/>
            <w:vAlign w:val="top"/>
          </w:tcPr>
          <w:p w14:paraId="6C7DDECF">
            <w:pPr>
              <w:spacing w:before="74" w:line="224" w:lineRule="auto"/>
              <w:rPr>
                <w:rFonts w:hint="eastAsia" w:ascii="仿宋" w:hAnsi="仿宋" w:eastAsia="仿宋" w:cs="仿宋"/>
                <w:spacing w:val="-11"/>
                <w:sz w:val="32"/>
                <w:szCs w:val="32"/>
              </w:rPr>
            </w:pPr>
          </w:p>
        </w:tc>
        <w:tc>
          <w:tcPr>
            <w:tcW w:w="1239" w:type="dxa"/>
            <w:vAlign w:val="top"/>
          </w:tcPr>
          <w:p w14:paraId="0911DE81">
            <w:pPr>
              <w:spacing w:before="74" w:line="224" w:lineRule="auto"/>
              <w:rPr>
                <w:rFonts w:hint="eastAsia" w:ascii="仿宋" w:hAnsi="仿宋" w:eastAsia="仿宋" w:cs="仿宋"/>
                <w:spacing w:val="-11"/>
                <w:sz w:val="32"/>
                <w:szCs w:val="32"/>
              </w:rPr>
            </w:pPr>
          </w:p>
        </w:tc>
        <w:tc>
          <w:tcPr>
            <w:tcW w:w="1279" w:type="dxa"/>
            <w:vAlign w:val="top"/>
          </w:tcPr>
          <w:p w14:paraId="7FFC1B5B">
            <w:pPr>
              <w:spacing w:before="74" w:line="224" w:lineRule="auto"/>
              <w:rPr>
                <w:rFonts w:hint="eastAsia" w:ascii="仿宋" w:hAnsi="仿宋" w:eastAsia="仿宋" w:cs="仿宋"/>
                <w:spacing w:val="-11"/>
                <w:sz w:val="32"/>
                <w:szCs w:val="32"/>
              </w:rPr>
            </w:pPr>
          </w:p>
        </w:tc>
        <w:tc>
          <w:tcPr>
            <w:tcW w:w="1424" w:type="dxa"/>
            <w:vAlign w:val="top"/>
          </w:tcPr>
          <w:p w14:paraId="3EA7BCAD">
            <w:pPr>
              <w:spacing w:before="74" w:line="224" w:lineRule="auto"/>
              <w:rPr>
                <w:rFonts w:hint="eastAsia" w:ascii="仿宋" w:hAnsi="仿宋" w:eastAsia="仿宋" w:cs="仿宋"/>
                <w:spacing w:val="-11"/>
                <w:sz w:val="32"/>
                <w:szCs w:val="32"/>
              </w:rPr>
            </w:pPr>
          </w:p>
        </w:tc>
      </w:tr>
    </w:tbl>
    <w:p w14:paraId="55367463">
      <w:pPr>
        <w:spacing w:before="74" w:line="224" w:lineRule="auto"/>
        <w:rPr>
          <w:rFonts w:hint="eastAsia" w:ascii="仿宋" w:hAnsi="仿宋" w:eastAsia="仿宋" w:cs="仿宋"/>
          <w:spacing w:val="-11"/>
          <w:sz w:val="32"/>
          <w:szCs w:val="32"/>
        </w:rPr>
      </w:pPr>
    </w:p>
    <w:p w14:paraId="27FB4B16">
      <w:pPr>
        <w:spacing w:before="74" w:line="224" w:lineRule="auto"/>
        <w:rPr>
          <w:rFonts w:hint="eastAsia" w:ascii="仿宋" w:hAnsi="仿宋" w:eastAsia="仿宋" w:cs="仿宋"/>
          <w:spacing w:val="-11"/>
          <w:sz w:val="32"/>
          <w:szCs w:val="32"/>
        </w:rPr>
        <w:sectPr>
          <w:pgSz w:w="16840" w:h="11900" w:orient="landscape"/>
          <w:pgMar w:top="1080" w:right="1440" w:bottom="1080" w:left="1440" w:header="0" w:footer="0" w:gutter="0"/>
          <w:cols w:space="720" w:num="1"/>
        </w:sectPr>
      </w:pPr>
    </w:p>
    <w:p w14:paraId="1EA96E37">
      <w:pPr>
        <w:rPr>
          <w:rFonts w:hint="eastAsia" w:ascii="仿宋" w:hAnsi="仿宋" w:eastAsia="仿宋" w:cs="仿宋"/>
          <w:spacing w:val="-11"/>
          <w:sz w:val="32"/>
          <w:szCs w:val="32"/>
        </w:rPr>
      </w:pPr>
      <w:r>
        <w:rPr>
          <w:rFonts w:hint="eastAsia" w:ascii="仿宋" w:hAnsi="仿宋" w:eastAsia="仿宋" w:cs="仿宋"/>
          <w:spacing w:val="-11"/>
          <w:sz w:val="32"/>
          <w:szCs w:val="32"/>
        </w:rPr>
        <w:br w:type="page"/>
      </w:r>
    </w:p>
    <w:p w14:paraId="2226F071">
      <w:pPr>
        <w:spacing w:before="74" w:line="224" w:lineRule="auto"/>
        <w:rPr>
          <w:rFonts w:hint="eastAsia" w:ascii="仿宋" w:hAnsi="仿宋" w:eastAsia="仿宋" w:cs="仿宋"/>
          <w:spacing w:val="-11"/>
          <w:sz w:val="32"/>
          <w:szCs w:val="32"/>
        </w:rPr>
        <w:sectPr>
          <w:pgSz w:w="11900" w:h="16840"/>
          <w:pgMar w:top="1440" w:right="1080" w:bottom="1440" w:left="1080" w:header="0" w:footer="0" w:gutter="0"/>
          <w:cols w:space="720" w:num="1"/>
        </w:sectPr>
      </w:pPr>
      <w:bookmarkStart w:id="0" w:name="_GoBack"/>
      <w:bookmarkEnd w:id="0"/>
    </w:p>
    <w:p w14:paraId="1B44586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sectPr>
      <w:pgSz w:w="1190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196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DEC3">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8B1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E2YmI4ZWYyMmFjZTFkNGFiZjI1YTBjNjYyYTA5NTEifQ=="/>
  </w:docVars>
  <w:rsids>
    <w:rsidRoot w:val="00000000"/>
    <w:rsid w:val="06D07376"/>
    <w:rsid w:val="229C0B63"/>
    <w:rsid w:val="37956FDD"/>
    <w:rsid w:val="43030A5E"/>
    <w:rsid w:val="522F36D7"/>
    <w:rsid w:val="580A3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8599</Words>
  <Characters>8709</Characters>
  <TotalTime>5</TotalTime>
  <ScaleCrop>false</ScaleCrop>
  <LinksUpToDate>false</LinksUpToDate>
  <CharactersWithSpaces>9169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2024-08-29T10:52:00Z</dcterms:created>
  <dc:creator>Kingsoft-PDF</dc:creator>
  <cp:lastModifiedBy>稻草人</cp:lastModifiedBy>
  <dcterms:modified xsi:type="dcterms:W3CDTF">2024-08-29T03:34:04Z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2024-08-29T10:52:42Z</vt:filetime>
  </property>
  <property fmtid="{D5CDD505-2E9C-101B-9397-08002B2CF9AE}" pid="4" name="UsrData">
    <vt:lpwstr>66cfe273b9fcc4001f39a014wl</vt:lpwstr>
  </property>
  <property fmtid="{D5CDD505-2E9C-101B-9397-08002B2CF9AE}" pid="5" name="KSOProductBuildVer">
    <vt:lpwstr>2052-12.1.0.17827</vt:lpwstr>
  </property>
  <property fmtid="{D5CDD505-2E9C-101B-9397-08002B2CF9AE}" pid="6" name="ICV">
    <vt:lpwstr>87ADB8F1CF834B42A10C5AAEEC18BF3D_13</vt:lpwstr>
  </property>
</Properties>
</file>