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D1CEB">
      <w:pPr>
        <w:spacing w:line="660" w:lineRule="exact"/>
        <w:jc w:val="center"/>
        <w:rPr>
          <w:rFonts w:ascii="仿宋_GB2312" w:hAnsi="宋体" w:eastAsia="仿宋_GB2312" w:cs="Times New Roman"/>
          <w:color w:val="auto"/>
          <w:sz w:val="32"/>
          <w:szCs w:val="32"/>
        </w:rPr>
      </w:pPr>
    </w:p>
    <w:p w14:paraId="484A2A1E">
      <w:pPr>
        <w:widowControl w:val="0"/>
        <w:wordWrap/>
        <w:adjustRightInd/>
        <w:snapToGrid/>
        <w:spacing w:before="0" w:after="0" w:line="700" w:lineRule="exact"/>
        <w:ind w:left="0" w:leftChars="0" w:right="0"/>
        <w:jc w:val="center"/>
        <w:textAlignment w:val="auto"/>
        <w:outlineLvl w:val="9"/>
        <w:rPr>
          <w:rFonts w:hint="default" w:ascii="方正小标宋简体" w:hAnsi="宋体" w:eastAsia="方正小标宋简体" w:cs="宋体"/>
          <w:b/>
          <w:bCs/>
          <w:color w:val="auto"/>
          <w:spacing w:val="6"/>
          <w:sz w:val="44"/>
          <w:szCs w:val="44"/>
          <w:lang w:val="en-US" w:eastAsia="zh-CN"/>
        </w:rPr>
      </w:pPr>
      <w:r>
        <w:rPr>
          <w:rFonts w:hint="eastAsia" w:ascii="方正小标宋简体" w:hAnsi="宋体" w:eastAsia="方正小标宋简体" w:cs="宋体"/>
          <w:b/>
          <w:bCs/>
          <w:color w:val="auto"/>
          <w:spacing w:val="6"/>
          <w:sz w:val="44"/>
          <w:szCs w:val="44"/>
          <w:lang w:val="en-US" w:eastAsia="zh-CN"/>
        </w:rPr>
        <w:t>南召县人民政府办公室</w:t>
      </w:r>
    </w:p>
    <w:p w14:paraId="4BC8EDA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9"/>
          <w:kern w:val="0"/>
          <w:sz w:val="44"/>
          <w:szCs w:val="44"/>
          <w:lang w:val="en-US" w:eastAsia="zh-CN"/>
        </w:rPr>
      </w:pPr>
      <w:r>
        <w:rPr>
          <w:rFonts w:hint="eastAsia" w:ascii="方正小标宋简体" w:hAnsi="方正小标宋简体" w:eastAsia="方正小标宋简体" w:cs="方正小标宋简体"/>
          <w:b/>
          <w:bCs/>
          <w:i w:val="0"/>
          <w:iCs w:val="0"/>
          <w:caps w:val="0"/>
          <w:color w:val="auto"/>
          <w:spacing w:val="-9"/>
          <w:kern w:val="0"/>
          <w:sz w:val="44"/>
          <w:szCs w:val="44"/>
          <w:lang w:val="en-US" w:eastAsia="zh-CN"/>
        </w:rPr>
        <w:t>关于印发南召县补充耕地管理办法（试行）的</w:t>
      </w:r>
    </w:p>
    <w:p w14:paraId="6560D11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lang w:val="en-US" w:eastAsia="zh-CN"/>
        </w:rPr>
      </w:pPr>
      <w:r>
        <w:rPr>
          <w:rFonts w:hint="eastAsia" w:ascii="方正小标宋简体" w:hAnsi="方正小标宋简体" w:eastAsia="方正小标宋简体" w:cs="方正小标宋简体"/>
          <w:b/>
          <w:bCs/>
          <w:i w:val="0"/>
          <w:iCs w:val="0"/>
          <w:caps w:val="0"/>
          <w:color w:val="auto"/>
          <w:spacing w:val="0"/>
          <w:kern w:val="0"/>
          <w:sz w:val="44"/>
          <w:szCs w:val="44"/>
          <w:lang w:val="en-US" w:eastAsia="zh-CN"/>
        </w:rPr>
        <w:t>通    知</w:t>
      </w:r>
    </w:p>
    <w:p w14:paraId="06175EB8">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80" w:lineRule="exact"/>
        <w:ind w:left="0" w:right="0"/>
        <w:textAlignment w:val="auto"/>
        <w:rPr>
          <w:rFonts w:hint="eastAsia" w:ascii="仿宋_GB2312" w:hAnsi="仿宋_GB2312" w:eastAsia="仿宋_GB2312" w:cs="仿宋_GB2312"/>
          <w:color w:val="auto"/>
        </w:rPr>
      </w:pPr>
    </w:p>
    <w:p w14:paraId="483FD1E6">
      <w:pPr>
        <w:pStyle w:val="6"/>
        <w:widowControl/>
        <w:pBdr>
          <w:top w:val="none" w:color="auto" w:sz="0" w:space="0"/>
          <w:left w:val="none" w:color="auto" w:sz="0" w:space="0"/>
          <w:bottom w:val="none" w:color="auto" w:sz="0" w:space="0"/>
          <w:right w:val="none" w:color="auto" w:sz="0" w:space="0"/>
        </w:pBdr>
        <w:wordWrap/>
        <w:adjustRightInd/>
        <w:snapToGrid/>
        <w:spacing w:before="240" w:beforeAutospacing="0" w:after="240" w:afterAutospacing="0" w:line="58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各</w:t>
      </w:r>
      <w:r>
        <w:rPr>
          <w:rFonts w:hint="eastAsia" w:ascii="仿宋_GB2312" w:hAnsi="仿宋_GB2312" w:eastAsia="仿宋_GB2312" w:cs="仿宋_GB2312"/>
          <w:i w:val="0"/>
          <w:iCs w:val="0"/>
          <w:caps w:val="0"/>
          <w:color w:val="auto"/>
          <w:spacing w:val="0"/>
          <w:sz w:val="32"/>
          <w:szCs w:val="32"/>
          <w:lang w:eastAsia="zh-CN"/>
        </w:rPr>
        <w:t>乡镇</w:t>
      </w:r>
      <w:r>
        <w:rPr>
          <w:rFonts w:hint="eastAsia" w:ascii="仿宋_GB2312" w:hAnsi="仿宋_GB2312" w:eastAsia="仿宋_GB2312" w:cs="仿宋_GB2312"/>
          <w:i w:val="0"/>
          <w:iCs w:val="0"/>
          <w:caps w:val="0"/>
          <w:color w:val="auto"/>
          <w:spacing w:val="0"/>
          <w:sz w:val="32"/>
          <w:szCs w:val="32"/>
        </w:rPr>
        <w:t>人民政府、</w:t>
      </w:r>
      <w:r>
        <w:rPr>
          <w:rFonts w:hint="eastAsia" w:ascii="仿宋_GB2312" w:hAnsi="仿宋_GB2312" w:eastAsia="仿宋_GB2312" w:cs="仿宋_GB2312"/>
          <w:i w:val="0"/>
          <w:iCs w:val="0"/>
          <w:caps w:val="0"/>
          <w:color w:val="auto"/>
          <w:spacing w:val="0"/>
          <w:sz w:val="32"/>
          <w:szCs w:val="32"/>
          <w:lang w:val="en-US" w:eastAsia="zh-CN"/>
        </w:rPr>
        <w:t>县政府有关部门</w:t>
      </w:r>
      <w:r>
        <w:rPr>
          <w:rFonts w:hint="eastAsia" w:ascii="仿宋_GB2312" w:hAnsi="仿宋_GB2312" w:eastAsia="仿宋_GB2312" w:cs="仿宋_GB2312"/>
          <w:i w:val="0"/>
          <w:iCs w:val="0"/>
          <w:caps w:val="0"/>
          <w:color w:val="auto"/>
          <w:spacing w:val="0"/>
          <w:sz w:val="32"/>
          <w:szCs w:val="32"/>
        </w:rPr>
        <w:t>：</w:t>
      </w:r>
    </w:p>
    <w:p w14:paraId="343C5A99">
      <w:pPr>
        <w:pStyle w:val="6"/>
        <w:widowControl/>
        <w:pBdr>
          <w:top w:val="none" w:color="auto" w:sz="0" w:space="0"/>
          <w:left w:val="none" w:color="auto" w:sz="0" w:space="0"/>
          <w:bottom w:val="none" w:color="auto" w:sz="0" w:space="0"/>
          <w:right w:val="none" w:color="auto" w:sz="0" w:space="0"/>
        </w:pBdr>
        <w:wordWrap/>
        <w:adjustRightInd/>
        <w:snapToGrid/>
        <w:spacing w:before="240" w:beforeAutospacing="0" w:after="240" w:afterAutospacing="0" w:line="58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经县政府研究，现将《</w:t>
      </w:r>
      <w:r>
        <w:rPr>
          <w:rFonts w:hint="eastAsia" w:ascii="仿宋_GB2312" w:hAnsi="仿宋_GB2312" w:eastAsia="仿宋_GB2312" w:cs="仿宋_GB2312"/>
          <w:i w:val="0"/>
          <w:iCs w:val="0"/>
          <w:caps w:val="0"/>
          <w:color w:val="auto"/>
          <w:spacing w:val="0"/>
          <w:sz w:val="32"/>
          <w:szCs w:val="32"/>
          <w:lang w:eastAsia="zh-CN"/>
        </w:rPr>
        <w:t>南召</w:t>
      </w:r>
      <w:r>
        <w:rPr>
          <w:rFonts w:hint="eastAsia" w:ascii="仿宋_GB2312" w:hAnsi="仿宋_GB2312" w:eastAsia="仿宋_GB2312" w:cs="仿宋_GB2312"/>
          <w:i w:val="0"/>
          <w:iCs w:val="0"/>
          <w:caps w:val="0"/>
          <w:color w:val="auto"/>
          <w:spacing w:val="0"/>
          <w:sz w:val="32"/>
          <w:szCs w:val="32"/>
        </w:rPr>
        <w:t>县补充耕地项目管理办法（试行）》印发给你们，请认真遵照执行。</w:t>
      </w:r>
    </w:p>
    <w:p w14:paraId="26E55533">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80" w:lineRule="exact"/>
        <w:ind w:left="0" w:right="0"/>
        <w:textAlignment w:val="auto"/>
        <w:rPr>
          <w:rFonts w:hint="eastAsia" w:ascii="仿宋_GB2312" w:hAnsi="仿宋_GB2312" w:eastAsia="仿宋_GB2312" w:cs="仿宋_GB2312"/>
          <w:color w:val="auto"/>
          <w:sz w:val="32"/>
          <w:szCs w:val="32"/>
        </w:rPr>
      </w:pPr>
    </w:p>
    <w:p w14:paraId="25B3DED2">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80" w:lineRule="exact"/>
        <w:ind w:left="0" w:right="0"/>
        <w:textAlignment w:val="auto"/>
        <w:rPr>
          <w:rFonts w:hint="eastAsia" w:ascii="仿宋_GB2312" w:hAnsi="仿宋_GB2312" w:eastAsia="仿宋_GB2312" w:cs="仿宋_GB2312"/>
          <w:color w:val="auto"/>
          <w:sz w:val="32"/>
          <w:szCs w:val="32"/>
        </w:rPr>
      </w:pPr>
    </w:p>
    <w:p w14:paraId="1320DD81">
      <w:pPr>
        <w:pStyle w:val="6"/>
        <w:widowControl/>
        <w:pBdr>
          <w:top w:val="none" w:color="auto" w:sz="0" w:space="0"/>
          <w:left w:val="none" w:color="auto" w:sz="0" w:space="0"/>
          <w:bottom w:val="none" w:color="auto" w:sz="0" w:space="0"/>
          <w:right w:val="none" w:color="auto" w:sz="0" w:space="0"/>
        </w:pBdr>
        <w:wordWrap/>
        <w:adjustRightInd/>
        <w:snapToGrid/>
        <w:spacing w:before="240" w:beforeAutospacing="0" w:after="240" w:afterAutospacing="0" w:line="580" w:lineRule="exact"/>
        <w:ind w:left="0" w:right="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2025年</w:t>
      </w:r>
      <w:r>
        <w:rPr>
          <w:rFonts w:hint="eastAsia" w:ascii="仿宋_GB2312" w:hAnsi="仿宋_GB2312" w:eastAsia="仿宋_GB2312" w:cs="仿宋_GB2312"/>
          <w:i w:val="0"/>
          <w:iCs w:val="0"/>
          <w:caps w:val="0"/>
          <w:color w:val="auto"/>
          <w:spacing w:val="0"/>
          <w:sz w:val="32"/>
          <w:szCs w:val="32"/>
          <w:lang w:val="en-US" w:eastAsia="zh-CN"/>
        </w:rPr>
        <w:t>10</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27</w:t>
      </w:r>
      <w:r>
        <w:rPr>
          <w:rFonts w:hint="eastAsia" w:ascii="仿宋_GB2312" w:hAnsi="仿宋_GB2312" w:eastAsia="仿宋_GB2312" w:cs="仿宋_GB2312"/>
          <w:i w:val="0"/>
          <w:iCs w:val="0"/>
          <w:caps w:val="0"/>
          <w:color w:val="auto"/>
          <w:spacing w:val="0"/>
          <w:sz w:val="32"/>
          <w:szCs w:val="32"/>
        </w:rPr>
        <w:t>日</w:t>
      </w:r>
    </w:p>
    <w:p w14:paraId="3623F02B">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Fonts w:hint="eastAsia" w:ascii="方正小标宋简体" w:hAnsi="方正小标宋简体" w:eastAsia="方正小标宋简体" w:cs="方正小标宋简体"/>
          <w:b/>
          <w:bCs w:val="0"/>
          <w:color w:val="auto"/>
          <w:sz w:val="44"/>
          <w:szCs w:val="44"/>
        </w:rPr>
      </w:pPr>
      <w:r>
        <w:rPr>
          <w:rFonts w:hint="eastAsia" w:ascii="仿宋_GB2312" w:hAnsi="仿宋_GB2312" w:eastAsia="仿宋_GB2312" w:cs="仿宋_GB2312"/>
          <w:i w:val="0"/>
          <w:iCs w:val="0"/>
          <w:caps w:val="0"/>
          <w:color w:val="auto"/>
          <w:spacing w:val="0"/>
          <w:sz w:val="32"/>
          <w:szCs w:val="32"/>
        </w:rPr>
        <w:br w:type="page"/>
      </w:r>
      <w:r>
        <w:rPr>
          <w:rStyle w:val="9"/>
          <w:rFonts w:hint="eastAsia" w:ascii="方正小标宋简体" w:hAnsi="方正小标宋简体" w:eastAsia="方正小标宋简体" w:cs="方正小标宋简体"/>
          <w:b/>
          <w:bCs w:val="0"/>
          <w:i w:val="0"/>
          <w:iCs w:val="0"/>
          <w:caps w:val="0"/>
          <w:color w:val="auto"/>
          <w:spacing w:val="0"/>
          <w:sz w:val="44"/>
          <w:szCs w:val="44"/>
          <w:lang w:eastAsia="zh-CN"/>
        </w:rPr>
        <w:t>南召</w:t>
      </w:r>
      <w:r>
        <w:rPr>
          <w:rStyle w:val="9"/>
          <w:rFonts w:hint="eastAsia" w:ascii="方正小标宋简体" w:hAnsi="方正小标宋简体" w:eastAsia="方正小标宋简体" w:cs="方正小标宋简体"/>
          <w:b/>
          <w:bCs w:val="0"/>
          <w:i w:val="0"/>
          <w:iCs w:val="0"/>
          <w:caps w:val="0"/>
          <w:color w:val="auto"/>
          <w:spacing w:val="0"/>
          <w:sz w:val="44"/>
          <w:szCs w:val="44"/>
        </w:rPr>
        <w:t>县补充耕地管理办法（试行）</w:t>
      </w:r>
    </w:p>
    <w:p w14:paraId="2A2F8D5A">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textAlignment w:val="auto"/>
        <w:outlineLvl w:val="9"/>
        <w:rPr>
          <w:rFonts w:hint="eastAsia" w:ascii="仿宋_GB2312" w:hAnsi="仿宋_GB2312" w:eastAsia="仿宋_GB2312" w:cs="仿宋_GB2312"/>
          <w:color w:val="auto"/>
          <w:sz w:val="32"/>
          <w:szCs w:val="32"/>
        </w:rPr>
      </w:pPr>
    </w:p>
    <w:p w14:paraId="31BFFCB4">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第一章</w:t>
      </w:r>
      <w:r>
        <w:rPr>
          <w:rStyle w:val="9"/>
          <w:rFonts w:hint="eastAsia" w:ascii="黑体" w:hAnsi="黑体" w:eastAsia="黑体" w:cs="黑体"/>
          <w:i w:val="0"/>
          <w:iCs w:val="0"/>
          <w:caps w:val="0"/>
          <w:color w:val="auto"/>
          <w:spacing w:val="0"/>
          <w:sz w:val="32"/>
          <w:szCs w:val="32"/>
          <w:lang w:val="en-US" w:eastAsia="zh-CN"/>
        </w:rPr>
        <w:t xml:space="preserve">  </w:t>
      </w:r>
      <w:r>
        <w:rPr>
          <w:rStyle w:val="9"/>
          <w:rFonts w:hint="eastAsia" w:ascii="黑体" w:hAnsi="黑体" w:eastAsia="黑体" w:cs="黑体"/>
          <w:i w:val="0"/>
          <w:iCs w:val="0"/>
          <w:caps w:val="0"/>
          <w:color w:val="auto"/>
          <w:spacing w:val="0"/>
          <w:sz w:val="32"/>
          <w:szCs w:val="32"/>
        </w:rPr>
        <w:t>总 则</w:t>
      </w:r>
    </w:p>
    <w:p w14:paraId="30EED83D">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671"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i w:val="0"/>
          <w:iCs w:val="0"/>
          <w:color w:val="auto"/>
          <w:spacing w:val="7"/>
          <w:sz w:val="32"/>
          <w:szCs w:val="32"/>
        </w:rPr>
        <w:t>第一条</w:t>
      </w:r>
      <w:r>
        <w:rPr>
          <w:rFonts w:hint="eastAsia" w:ascii="仿宋_GB2312" w:hAnsi="仿宋_GB2312" w:eastAsia="仿宋_GB2312" w:cs="仿宋_GB2312"/>
          <w:b w:val="0"/>
          <w:bCs w:val="0"/>
          <w:i w:val="0"/>
          <w:iCs w:val="0"/>
          <w:color w:val="auto"/>
          <w:spacing w:val="7"/>
          <w:sz w:val="32"/>
          <w:szCs w:val="32"/>
          <w:lang w:val="en-US" w:eastAsia="zh-CN"/>
        </w:rPr>
        <w:t xml:space="preserve"> </w:t>
      </w:r>
      <w:r>
        <w:rPr>
          <w:rFonts w:hint="eastAsia" w:ascii="仿宋_GB2312" w:hAnsi="仿宋_GB2312" w:eastAsia="仿宋_GB2312" w:cs="仿宋_GB2312"/>
          <w:b w:val="0"/>
          <w:bCs w:val="0"/>
          <w:i w:val="0"/>
          <w:iCs w:val="0"/>
          <w:color w:val="auto"/>
          <w:spacing w:val="7"/>
          <w:sz w:val="32"/>
          <w:szCs w:val="32"/>
        </w:rPr>
        <w:t xml:space="preserve"> 为进一步加强补充耕地管理，</w:t>
      </w:r>
      <w:r>
        <w:rPr>
          <w:rFonts w:hint="eastAsia" w:ascii="仿宋_GB2312" w:hAnsi="仿宋_GB2312" w:eastAsia="仿宋_GB2312" w:cs="仿宋_GB2312"/>
          <w:b w:val="0"/>
          <w:bCs w:val="0"/>
          <w:i w:val="0"/>
          <w:iCs w:val="0"/>
          <w:color w:val="auto"/>
          <w:spacing w:val="7"/>
          <w:sz w:val="32"/>
          <w:szCs w:val="32"/>
          <w:u w:val="none"/>
        </w:rPr>
        <w:t>根据《</w:t>
      </w:r>
      <w:r>
        <w:rPr>
          <w:rFonts w:hint="eastAsia" w:ascii="仿宋_GB2312" w:hAnsi="仿宋_GB2312" w:eastAsia="仿宋_GB2312" w:cs="仿宋_GB2312"/>
          <w:b w:val="0"/>
          <w:bCs w:val="0"/>
          <w:i w:val="0"/>
          <w:iCs w:val="0"/>
          <w:color w:val="auto"/>
          <w:spacing w:val="7"/>
          <w:sz w:val="32"/>
          <w:szCs w:val="32"/>
          <w:u w:val="none"/>
        </w:rPr>
        <w:fldChar w:fldCharType="begin"/>
      </w:r>
      <w:r>
        <w:rPr>
          <w:rFonts w:hint="eastAsia" w:ascii="仿宋_GB2312" w:hAnsi="仿宋_GB2312" w:eastAsia="仿宋_GB2312" w:cs="仿宋_GB2312"/>
          <w:b w:val="0"/>
          <w:bCs w:val="0"/>
          <w:i w:val="0"/>
          <w:iCs w:val="0"/>
          <w:color w:val="auto"/>
          <w:spacing w:val="7"/>
          <w:sz w:val="32"/>
          <w:szCs w:val="32"/>
          <w:u w:val="none"/>
        </w:rPr>
        <w:instrText xml:space="preserve"> HYPERLINK "https://mp.weixin.qq.com/s?__biz=MzIzMjUzNzI3OQ==&amp;mid=2247524473&amp;idx=2&amp;sn=93bf5b6bda816a4f64c9449b01564cb3&amp;scene=21" \l "wechat_redirect" \t "https://mp.weixin.qq.com/_blank" </w:instrText>
      </w:r>
      <w:r>
        <w:rPr>
          <w:rFonts w:hint="eastAsia" w:ascii="仿宋_GB2312" w:hAnsi="仿宋_GB2312" w:eastAsia="仿宋_GB2312" w:cs="仿宋_GB2312"/>
          <w:b w:val="0"/>
          <w:bCs w:val="0"/>
          <w:i w:val="0"/>
          <w:iCs w:val="0"/>
          <w:color w:val="auto"/>
          <w:spacing w:val="7"/>
          <w:sz w:val="32"/>
          <w:szCs w:val="32"/>
          <w:u w:val="none"/>
        </w:rPr>
        <w:fldChar w:fldCharType="separate"/>
      </w:r>
      <w:r>
        <w:rPr>
          <w:rStyle w:val="12"/>
          <w:rFonts w:hint="eastAsia" w:ascii="仿宋_GB2312" w:hAnsi="仿宋_GB2312" w:eastAsia="仿宋_GB2312" w:cs="仿宋_GB2312"/>
          <w:b w:val="0"/>
          <w:bCs w:val="0"/>
          <w:i w:val="0"/>
          <w:iCs w:val="0"/>
          <w:color w:val="auto"/>
          <w:spacing w:val="7"/>
          <w:sz w:val="32"/>
          <w:szCs w:val="32"/>
          <w:u w:val="none"/>
        </w:rPr>
        <w:t>自然资源部、农业农村部关于改革完善耕地占补平衡管理的通知</w:t>
      </w:r>
      <w:r>
        <w:rPr>
          <w:rFonts w:hint="eastAsia" w:ascii="仿宋_GB2312" w:hAnsi="仿宋_GB2312" w:eastAsia="仿宋_GB2312" w:cs="仿宋_GB2312"/>
          <w:b w:val="0"/>
          <w:bCs w:val="0"/>
          <w:i w:val="0"/>
          <w:iCs w:val="0"/>
          <w:color w:val="auto"/>
          <w:spacing w:val="7"/>
          <w:sz w:val="32"/>
          <w:szCs w:val="32"/>
          <w:u w:val="none"/>
        </w:rPr>
        <w:fldChar w:fldCharType="end"/>
      </w:r>
      <w:r>
        <w:rPr>
          <w:rFonts w:hint="eastAsia" w:ascii="仿宋_GB2312" w:hAnsi="仿宋_GB2312" w:eastAsia="仿宋_GB2312" w:cs="仿宋_GB2312"/>
          <w:b w:val="0"/>
          <w:bCs w:val="0"/>
          <w:i w:val="0"/>
          <w:iCs w:val="0"/>
          <w:color w:val="auto"/>
          <w:spacing w:val="7"/>
          <w:sz w:val="32"/>
          <w:szCs w:val="32"/>
          <w:u w:val="none"/>
        </w:rPr>
        <w:t>》（自然资发〔2024〕204号）、《中共河南省委办公厅、河南省人民政府办公厅关于加强耕地保护提升耕地质量完善占补平衡的实施意见》（豫办〔2025〕15号）</w:t>
      </w:r>
      <w:r>
        <w:rPr>
          <w:rFonts w:hint="eastAsia" w:ascii="仿宋_GB2312" w:hAnsi="仿宋_GB2312" w:eastAsia="仿宋_GB2312" w:cs="仿宋_GB2312"/>
          <w:b w:val="0"/>
          <w:bCs w:val="0"/>
          <w:i w:val="0"/>
          <w:iCs w:val="0"/>
          <w:color w:val="auto"/>
          <w:spacing w:val="7"/>
          <w:sz w:val="32"/>
          <w:szCs w:val="32"/>
          <w:u w:val="none"/>
          <w:lang w:eastAsia="zh-CN"/>
        </w:rPr>
        <w:t>、《河南省自然资源厅关于印发河南省补充耕地管理办法的通知》（豫自然资规</w:t>
      </w:r>
      <w:r>
        <w:rPr>
          <w:rFonts w:hint="eastAsia" w:ascii="仿宋_GB2312" w:hAnsi="仿宋_GB2312" w:eastAsia="仿宋_GB2312" w:cs="仿宋_GB2312"/>
          <w:b w:val="0"/>
          <w:bCs w:val="0"/>
          <w:i w:val="0"/>
          <w:iCs w:val="0"/>
          <w:color w:val="auto"/>
          <w:spacing w:val="7"/>
          <w:sz w:val="32"/>
          <w:szCs w:val="32"/>
          <w:u w:val="none"/>
        </w:rPr>
        <w:t>〔2025〕</w:t>
      </w:r>
      <w:r>
        <w:rPr>
          <w:rFonts w:hint="eastAsia" w:ascii="仿宋_GB2312" w:hAnsi="仿宋_GB2312" w:eastAsia="仿宋_GB2312" w:cs="仿宋_GB2312"/>
          <w:b w:val="0"/>
          <w:bCs w:val="0"/>
          <w:i w:val="0"/>
          <w:iCs w:val="0"/>
          <w:color w:val="auto"/>
          <w:spacing w:val="7"/>
          <w:sz w:val="32"/>
          <w:szCs w:val="32"/>
          <w:u w:val="none"/>
          <w:lang w:eastAsia="zh-CN"/>
        </w:rPr>
        <w:t>6号）</w:t>
      </w:r>
      <w:r>
        <w:rPr>
          <w:rFonts w:hint="eastAsia" w:ascii="仿宋_GB2312" w:hAnsi="仿宋_GB2312" w:eastAsia="仿宋_GB2312" w:cs="仿宋_GB2312"/>
          <w:b w:val="0"/>
          <w:bCs w:val="0"/>
          <w:i w:val="0"/>
          <w:iCs w:val="0"/>
          <w:color w:val="auto"/>
          <w:spacing w:val="7"/>
          <w:sz w:val="32"/>
          <w:szCs w:val="32"/>
          <w:u w:val="none"/>
        </w:rPr>
        <w:t>等有关规定，制定本办法。</w:t>
      </w:r>
    </w:p>
    <w:p w14:paraId="4A1470FD">
      <w:pPr>
        <w:pStyle w:val="6"/>
        <w:widowControl w:val="0"/>
        <w:wordWrap/>
        <w:adjustRightInd/>
        <w:snapToGrid/>
        <w:spacing w:before="0" w:after="0" w:line="640" w:lineRule="exact"/>
        <w:ind w:left="0" w:leftChars="0" w:right="0" w:firstLine="671"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i w:val="0"/>
          <w:iCs w:val="0"/>
          <w:color w:val="auto"/>
          <w:spacing w:val="7"/>
          <w:sz w:val="32"/>
          <w:szCs w:val="32"/>
        </w:rPr>
        <w:t>第二条</w:t>
      </w:r>
      <w:r>
        <w:rPr>
          <w:rFonts w:hint="eastAsia" w:ascii="仿宋_GB2312" w:hAnsi="仿宋_GB2312" w:eastAsia="仿宋_GB2312" w:cs="仿宋_GB2312"/>
          <w:b w:val="0"/>
          <w:bCs w:val="0"/>
          <w:i w:val="0"/>
          <w:iCs w:val="0"/>
          <w:color w:val="auto"/>
          <w:spacing w:val="7"/>
          <w:sz w:val="32"/>
          <w:szCs w:val="32"/>
          <w:u w:val="none"/>
          <w:lang w:val="en-US" w:eastAsia="zh-CN"/>
        </w:rPr>
        <w:t xml:space="preserve"> </w:t>
      </w:r>
      <w:r>
        <w:rPr>
          <w:rFonts w:hint="eastAsia" w:ascii="仿宋_GB2312" w:hAnsi="仿宋_GB2312" w:eastAsia="仿宋_GB2312" w:cs="仿宋_GB2312"/>
          <w:b w:val="0"/>
          <w:bCs w:val="0"/>
          <w:i w:val="0"/>
          <w:iCs w:val="0"/>
          <w:color w:val="auto"/>
          <w:spacing w:val="7"/>
          <w:sz w:val="32"/>
          <w:szCs w:val="32"/>
          <w:u w:val="none"/>
        </w:rPr>
        <w:t xml:space="preserve"> 补充耕地是指落实国家关于耕地占补平衡工作要求，依据国土空间总体规划和相关专项规划，通过项目实施或农民自发复垦等，将未利用地、农用地中的非耕地和建设用地开发、整理、复垦为稳定利用的耕地。</w:t>
      </w:r>
    </w:p>
    <w:p w14:paraId="57ABC2B0">
      <w:pPr>
        <w:pStyle w:val="6"/>
        <w:widowControl w:val="0"/>
        <w:wordWrap/>
        <w:adjustRightInd/>
        <w:snapToGrid/>
        <w:spacing w:before="0" w:after="0" w:line="640" w:lineRule="exact"/>
        <w:ind w:left="0" w:leftChars="0" w:right="0" w:firstLine="671"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i w:val="0"/>
          <w:iCs w:val="0"/>
          <w:color w:val="auto"/>
          <w:spacing w:val="7"/>
          <w:sz w:val="32"/>
          <w:szCs w:val="32"/>
        </w:rPr>
        <w:t>第三条</w:t>
      </w:r>
      <w:r>
        <w:rPr>
          <w:rFonts w:hint="eastAsia" w:ascii="仿宋_GB2312" w:hAnsi="仿宋_GB2312" w:eastAsia="仿宋_GB2312" w:cs="仿宋_GB2312"/>
          <w:b/>
          <w:bCs/>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u w:val="none"/>
        </w:rPr>
        <w:t xml:space="preserve"> 各</w:t>
      </w:r>
      <w:r>
        <w:rPr>
          <w:rFonts w:hint="eastAsia" w:ascii="仿宋_GB2312" w:hAnsi="仿宋_GB2312" w:eastAsia="仿宋_GB2312" w:cs="仿宋_GB2312"/>
          <w:b w:val="0"/>
          <w:bCs w:val="0"/>
          <w:i w:val="0"/>
          <w:iCs w:val="0"/>
          <w:color w:val="auto"/>
          <w:spacing w:val="7"/>
          <w:sz w:val="32"/>
          <w:szCs w:val="32"/>
          <w:u w:val="none"/>
          <w:lang w:eastAsia="zh-CN"/>
        </w:rPr>
        <w:t>乡镇</w:t>
      </w:r>
      <w:r>
        <w:rPr>
          <w:rFonts w:hint="eastAsia" w:ascii="仿宋_GB2312" w:hAnsi="仿宋_GB2312" w:eastAsia="仿宋_GB2312" w:cs="仿宋_GB2312"/>
          <w:b w:val="0"/>
          <w:bCs w:val="0"/>
          <w:i w:val="0"/>
          <w:iCs w:val="0"/>
          <w:color w:val="auto"/>
          <w:spacing w:val="7"/>
          <w:sz w:val="32"/>
          <w:szCs w:val="32"/>
          <w:u w:val="none"/>
        </w:rPr>
        <w:t>要结合自身资源禀赋</w:t>
      </w:r>
      <w:r>
        <w:rPr>
          <w:rFonts w:hint="eastAsia" w:ascii="仿宋_GB2312" w:hAnsi="仿宋_GB2312" w:eastAsia="仿宋_GB2312" w:cs="仿宋_GB2312"/>
          <w:b w:val="0"/>
          <w:bCs w:val="0"/>
          <w:i w:val="0"/>
          <w:iCs w:val="0"/>
          <w:color w:val="auto"/>
          <w:spacing w:val="7"/>
          <w:sz w:val="32"/>
          <w:szCs w:val="32"/>
          <w:u w:val="none"/>
          <w:lang w:eastAsia="zh-CN"/>
        </w:rPr>
        <w:t>，</w:t>
      </w:r>
      <w:r>
        <w:rPr>
          <w:rFonts w:hint="eastAsia" w:ascii="仿宋_GB2312" w:hAnsi="仿宋_GB2312" w:eastAsia="仿宋_GB2312" w:cs="仿宋_GB2312"/>
          <w:b w:val="0"/>
          <w:bCs w:val="0"/>
          <w:i w:val="0"/>
          <w:iCs w:val="0"/>
          <w:color w:val="auto"/>
          <w:spacing w:val="7"/>
          <w:sz w:val="32"/>
          <w:szCs w:val="32"/>
          <w:u w:val="none"/>
        </w:rPr>
        <w:t>参照高标准农田标准，</w:t>
      </w:r>
      <w:r>
        <w:rPr>
          <w:rFonts w:hint="eastAsia" w:ascii="仿宋_GB2312" w:hAnsi="仿宋_GB2312" w:eastAsia="仿宋_GB2312" w:cs="仿宋_GB2312"/>
          <w:b w:val="0"/>
          <w:bCs w:val="0"/>
          <w:i w:val="0"/>
          <w:iCs w:val="0"/>
          <w:color w:val="auto"/>
          <w:spacing w:val="7"/>
          <w:sz w:val="32"/>
          <w:szCs w:val="32"/>
          <w:u w:val="none"/>
          <w:lang w:eastAsia="zh-CN"/>
        </w:rPr>
        <w:t>坚持</w:t>
      </w:r>
      <w:r>
        <w:rPr>
          <w:rFonts w:hint="eastAsia" w:ascii="仿宋_GB2312" w:hAnsi="仿宋_GB2312" w:eastAsia="仿宋_GB2312" w:cs="仿宋_GB2312"/>
          <w:b w:val="0"/>
          <w:bCs w:val="0"/>
          <w:i w:val="0"/>
          <w:iCs w:val="0"/>
          <w:color w:val="auto"/>
          <w:spacing w:val="7"/>
          <w:sz w:val="32"/>
          <w:szCs w:val="32"/>
          <w:u w:val="none"/>
        </w:rPr>
        <w:t>耕地数量不减少</w:t>
      </w:r>
      <w:r>
        <w:rPr>
          <w:rFonts w:hint="eastAsia" w:ascii="仿宋_GB2312" w:hAnsi="仿宋_GB2312" w:eastAsia="仿宋_GB2312" w:cs="仿宋_GB2312"/>
          <w:b w:val="0"/>
          <w:bCs w:val="0"/>
          <w:i w:val="0"/>
          <w:iCs w:val="0"/>
          <w:color w:val="auto"/>
          <w:spacing w:val="7"/>
          <w:sz w:val="32"/>
          <w:szCs w:val="32"/>
          <w:u w:val="none"/>
          <w:lang w:eastAsia="zh-CN"/>
        </w:rPr>
        <w:t>、</w:t>
      </w:r>
      <w:r>
        <w:rPr>
          <w:rFonts w:hint="eastAsia" w:ascii="仿宋_GB2312" w:hAnsi="仿宋_GB2312" w:eastAsia="仿宋_GB2312" w:cs="仿宋_GB2312"/>
          <w:b w:val="0"/>
          <w:bCs w:val="0"/>
          <w:i w:val="0"/>
          <w:iCs w:val="0"/>
          <w:color w:val="auto"/>
          <w:spacing w:val="7"/>
          <w:sz w:val="32"/>
          <w:szCs w:val="32"/>
          <w:u w:val="none"/>
        </w:rPr>
        <w:t>质量有提高</w:t>
      </w:r>
      <w:r>
        <w:rPr>
          <w:rFonts w:hint="eastAsia" w:ascii="仿宋_GB2312" w:hAnsi="仿宋_GB2312" w:eastAsia="仿宋_GB2312" w:cs="仿宋_GB2312"/>
          <w:b w:val="0"/>
          <w:bCs w:val="0"/>
          <w:i w:val="0"/>
          <w:iCs w:val="0"/>
          <w:color w:val="auto"/>
          <w:spacing w:val="7"/>
          <w:sz w:val="32"/>
          <w:szCs w:val="32"/>
          <w:u w:val="none"/>
          <w:lang w:eastAsia="zh-CN"/>
        </w:rPr>
        <w:t>、</w:t>
      </w:r>
      <w:r>
        <w:rPr>
          <w:rFonts w:hint="eastAsia" w:ascii="仿宋_GB2312" w:hAnsi="仿宋_GB2312" w:eastAsia="仿宋_GB2312" w:cs="仿宋_GB2312"/>
          <w:b w:val="0"/>
          <w:bCs w:val="0"/>
          <w:i w:val="0"/>
          <w:iCs w:val="0"/>
          <w:color w:val="auto"/>
          <w:spacing w:val="7"/>
          <w:sz w:val="32"/>
          <w:szCs w:val="32"/>
          <w:u w:val="none"/>
        </w:rPr>
        <w:t>生态有改善</w:t>
      </w:r>
      <w:r>
        <w:rPr>
          <w:rFonts w:hint="eastAsia" w:ascii="仿宋_GB2312" w:hAnsi="仿宋_GB2312" w:eastAsia="仿宋_GB2312" w:cs="仿宋_GB2312"/>
          <w:b w:val="0"/>
          <w:bCs w:val="0"/>
          <w:i w:val="0"/>
          <w:iCs w:val="0"/>
          <w:color w:val="auto"/>
          <w:spacing w:val="7"/>
          <w:sz w:val="32"/>
          <w:szCs w:val="32"/>
          <w:u w:val="none"/>
          <w:lang w:eastAsia="zh-CN"/>
        </w:rPr>
        <w:t>、</w:t>
      </w:r>
      <w:r>
        <w:rPr>
          <w:rFonts w:hint="eastAsia" w:ascii="仿宋_GB2312" w:hAnsi="仿宋_GB2312" w:eastAsia="仿宋_GB2312" w:cs="仿宋_GB2312"/>
          <w:b w:val="0"/>
          <w:bCs w:val="0"/>
          <w:i w:val="0"/>
          <w:iCs w:val="0"/>
          <w:color w:val="auto"/>
          <w:spacing w:val="7"/>
          <w:sz w:val="32"/>
          <w:szCs w:val="32"/>
          <w:u w:val="none"/>
        </w:rPr>
        <w:t>布局更优化的</w:t>
      </w:r>
      <w:r>
        <w:rPr>
          <w:rFonts w:hint="eastAsia" w:ascii="仿宋_GB2312" w:hAnsi="仿宋_GB2312" w:eastAsia="仿宋_GB2312" w:cs="仿宋_GB2312"/>
          <w:b w:val="0"/>
          <w:bCs w:val="0"/>
          <w:i w:val="0"/>
          <w:iCs w:val="0"/>
          <w:color w:val="auto"/>
          <w:spacing w:val="7"/>
          <w:sz w:val="32"/>
          <w:szCs w:val="32"/>
          <w:u w:val="none"/>
          <w:lang w:eastAsia="zh-CN"/>
        </w:rPr>
        <w:t>原则</w:t>
      </w:r>
      <w:r>
        <w:rPr>
          <w:rFonts w:hint="eastAsia" w:ascii="仿宋_GB2312" w:hAnsi="仿宋_GB2312" w:eastAsia="仿宋_GB2312" w:cs="仿宋_GB2312"/>
          <w:b w:val="0"/>
          <w:bCs w:val="0"/>
          <w:i w:val="0"/>
          <w:iCs w:val="0"/>
          <w:color w:val="auto"/>
          <w:spacing w:val="7"/>
          <w:sz w:val="32"/>
          <w:szCs w:val="32"/>
          <w:u w:val="none"/>
        </w:rPr>
        <w:t>，</w:t>
      </w:r>
      <w:r>
        <w:rPr>
          <w:rFonts w:hint="eastAsia" w:ascii="仿宋_GB2312" w:hAnsi="仿宋_GB2312" w:eastAsia="仿宋_GB2312" w:cs="仿宋_GB2312"/>
          <w:b w:val="0"/>
          <w:bCs w:val="0"/>
          <w:i w:val="0"/>
          <w:iCs w:val="0"/>
          <w:color w:val="auto"/>
          <w:spacing w:val="7"/>
          <w:sz w:val="32"/>
          <w:szCs w:val="32"/>
          <w:u w:val="none"/>
          <w:lang w:eastAsia="zh-CN"/>
        </w:rPr>
        <w:t>严格按照</w:t>
      </w:r>
      <w:r>
        <w:rPr>
          <w:rFonts w:hint="eastAsia" w:ascii="仿宋_GB2312" w:hAnsi="仿宋_GB2312" w:eastAsia="仿宋_GB2312" w:cs="仿宋_GB2312"/>
          <w:b w:val="0"/>
          <w:bCs w:val="0"/>
          <w:i w:val="0"/>
          <w:iCs w:val="0"/>
          <w:color w:val="auto"/>
          <w:spacing w:val="7"/>
          <w:sz w:val="32"/>
          <w:szCs w:val="32"/>
          <w:u w:val="none"/>
        </w:rPr>
        <w:t>耕地占补平衡专项规划</w:t>
      </w:r>
      <w:r>
        <w:rPr>
          <w:rFonts w:hint="eastAsia" w:ascii="仿宋_GB2312" w:hAnsi="仿宋_GB2312" w:eastAsia="仿宋_GB2312" w:cs="仿宋_GB2312"/>
          <w:b w:val="0"/>
          <w:bCs w:val="0"/>
          <w:i w:val="0"/>
          <w:iCs w:val="0"/>
          <w:color w:val="auto"/>
          <w:spacing w:val="7"/>
          <w:sz w:val="32"/>
          <w:szCs w:val="32"/>
          <w:u w:val="none"/>
          <w:lang w:eastAsia="zh-CN"/>
        </w:rPr>
        <w:t>开展补充耕地项目实施</w:t>
      </w:r>
      <w:r>
        <w:rPr>
          <w:rFonts w:hint="eastAsia" w:ascii="仿宋_GB2312" w:hAnsi="仿宋_GB2312" w:eastAsia="仿宋_GB2312" w:cs="仿宋_GB2312"/>
          <w:b w:val="0"/>
          <w:bCs w:val="0"/>
          <w:i w:val="0"/>
          <w:iCs w:val="0"/>
          <w:color w:val="auto"/>
          <w:spacing w:val="7"/>
          <w:sz w:val="32"/>
          <w:szCs w:val="32"/>
          <w:u w:val="none"/>
        </w:rPr>
        <w:t>。</w:t>
      </w:r>
    </w:p>
    <w:p w14:paraId="7F6594BB">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第四条</w:t>
      </w:r>
      <w:r>
        <w:rPr>
          <w:rFonts w:hint="eastAsia" w:ascii="仿宋_GB2312" w:hAnsi="仿宋_GB2312" w:eastAsia="仿宋_GB2312" w:cs="仿宋_GB2312"/>
          <w:b w:val="0"/>
          <w:bCs w:val="0"/>
          <w:i w:val="0"/>
          <w:iCs w:val="0"/>
          <w:color w:val="auto"/>
          <w:spacing w:val="7"/>
          <w:sz w:val="32"/>
          <w:szCs w:val="32"/>
          <w:u w:val="none"/>
          <w:lang w:eastAsia="zh-CN"/>
        </w:rPr>
        <w:t xml:space="preserve"> </w:t>
      </w:r>
      <w:r>
        <w:rPr>
          <w:rFonts w:hint="eastAsia" w:ascii="仿宋_GB2312" w:hAnsi="仿宋_GB2312" w:eastAsia="仿宋_GB2312" w:cs="仿宋_GB2312"/>
          <w:b w:val="0"/>
          <w:bCs w:val="0"/>
          <w:i w:val="0"/>
          <w:iCs w:val="0"/>
          <w:color w:val="auto"/>
          <w:spacing w:val="7"/>
          <w:sz w:val="32"/>
          <w:szCs w:val="32"/>
          <w:u w:val="none"/>
        </w:rPr>
        <w:t xml:space="preserve"> 科学安排补充耕地空间和时序，因地制宜、统筹落实补充耕地任务，确保补充耕地长期稳定利用。补充耕地坚持以恢复优质耕地为主、新开垦耕地为辅的原则，鼓励优先将从水田中流出的农用地恢复为水田，确保</w:t>
      </w:r>
      <w:r>
        <w:rPr>
          <w:rFonts w:hint="eastAsia" w:ascii="仿宋_GB2312" w:hAnsi="仿宋_GB2312" w:eastAsia="仿宋_GB2312" w:cs="仿宋_GB2312"/>
          <w:b w:val="0"/>
          <w:bCs w:val="0"/>
          <w:i w:val="0"/>
          <w:iCs w:val="0"/>
          <w:color w:val="auto"/>
          <w:spacing w:val="7"/>
          <w:sz w:val="32"/>
          <w:szCs w:val="32"/>
          <w:u w:val="none"/>
          <w:lang w:eastAsia="zh-CN"/>
        </w:rPr>
        <w:t>县</w:t>
      </w:r>
      <w:r>
        <w:rPr>
          <w:rFonts w:hint="eastAsia" w:ascii="仿宋_GB2312" w:hAnsi="仿宋_GB2312" w:eastAsia="仿宋_GB2312" w:cs="仿宋_GB2312"/>
          <w:b w:val="0"/>
          <w:bCs w:val="0"/>
          <w:i w:val="0"/>
          <w:iCs w:val="0"/>
          <w:color w:val="auto"/>
          <w:spacing w:val="7"/>
          <w:sz w:val="32"/>
          <w:szCs w:val="32"/>
          <w:u w:val="none"/>
        </w:rPr>
        <w:t>域</w:t>
      </w:r>
      <w:r>
        <w:rPr>
          <w:rFonts w:hint="eastAsia" w:ascii="仿宋_GB2312" w:hAnsi="仿宋_GB2312" w:eastAsia="仿宋_GB2312" w:cs="仿宋_GB2312"/>
          <w:b w:val="0"/>
          <w:bCs w:val="0"/>
          <w:i w:val="0"/>
          <w:iCs w:val="0"/>
          <w:color w:val="auto"/>
          <w:spacing w:val="7"/>
          <w:sz w:val="32"/>
          <w:szCs w:val="32"/>
        </w:rPr>
        <w:t>内水田总体稳定。</w:t>
      </w:r>
    </w:p>
    <w:p w14:paraId="3C6EF30A">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第五条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补充耕地实施要充分保障土地权利人的知情权、参与权、监督权。补充耕地涉及的土地权属应明晰、无争议。</w:t>
      </w:r>
    </w:p>
    <w:p w14:paraId="335AB188">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 xml:space="preserve">第二章 </w:t>
      </w:r>
      <w:r>
        <w:rPr>
          <w:rStyle w:val="9"/>
          <w:rFonts w:hint="eastAsia" w:ascii="黑体" w:hAnsi="黑体" w:eastAsia="黑体" w:cs="黑体"/>
          <w:i w:val="0"/>
          <w:iCs w:val="0"/>
          <w:caps w:val="0"/>
          <w:color w:val="auto"/>
          <w:spacing w:val="0"/>
          <w:sz w:val="32"/>
          <w:szCs w:val="32"/>
          <w:lang w:eastAsia="zh-CN"/>
        </w:rPr>
        <w:t xml:space="preserve"> </w:t>
      </w:r>
      <w:r>
        <w:rPr>
          <w:rStyle w:val="9"/>
          <w:rFonts w:hint="eastAsia" w:ascii="黑体" w:hAnsi="黑体" w:eastAsia="黑体" w:cs="黑体"/>
          <w:i w:val="0"/>
          <w:iCs w:val="0"/>
          <w:caps w:val="0"/>
          <w:color w:val="auto"/>
          <w:spacing w:val="0"/>
          <w:sz w:val="32"/>
          <w:szCs w:val="32"/>
        </w:rPr>
        <w:t>补充耕地选址</w:t>
      </w:r>
    </w:p>
    <w:p w14:paraId="36E87A60">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第六条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在符合国土空间规划、耕地占补平衡专项规划和生态环境保护等要求的前提下，第三次全国国土调查、实施前最新年度国土变更调查成果为非耕农用地、建设用地、未利用地的，均可作为补充耕地来源。</w:t>
      </w:r>
    </w:p>
    <w:p w14:paraId="13C723FE">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第七条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w:t>
      </w:r>
      <w:r>
        <w:rPr>
          <w:rFonts w:hint="eastAsia" w:ascii="仿宋_GB2312" w:hAnsi="仿宋_GB2312" w:eastAsia="仿宋_GB2312" w:cs="仿宋_GB2312"/>
          <w:b w:val="0"/>
          <w:bCs w:val="0"/>
          <w:i w:val="0"/>
          <w:iCs w:val="0"/>
          <w:color w:val="auto"/>
          <w:spacing w:val="7"/>
          <w:sz w:val="32"/>
          <w:szCs w:val="32"/>
          <w:lang w:eastAsia="zh-CN"/>
        </w:rPr>
        <w:t>各乡镇及县</w:t>
      </w:r>
      <w:r>
        <w:rPr>
          <w:rFonts w:hint="eastAsia" w:ascii="仿宋_GB2312" w:hAnsi="仿宋_GB2312" w:eastAsia="仿宋_GB2312" w:cs="仿宋_GB2312"/>
          <w:b w:val="0"/>
          <w:bCs w:val="0"/>
          <w:i w:val="0"/>
          <w:iCs w:val="0"/>
          <w:color w:val="auto"/>
          <w:spacing w:val="7"/>
          <w:sz w:val="32"/>
          <w:szCs w:val="32"/>
          <w:lang w:val="en-US" w:eastAsia="zh-CN"/>
        </w:rPr>
        <w:t>政府</w:t>
      </w:r>
      <w:r>
        <w:rPr>
          <w:rFonts w:hint="eastAsia" w:ascii="仿宋_GB2312" w:hAnsi="仿宋_GB2312" w:eastAsia="仿宋_GB2312" w:cs="仿宋_GB2312"/>
          <w:b w:val="0"/>
          <w:bCs w:val="0"/>
          <w:i w:val="0"/>
          <w:iCs w:val="0"/>
          <w:color w:val="auto"/>
          <w:spacing w:val="7"/>
          <w:sz w:val="32"/>
          <w:szCs w:val="32"/>
          <w:lang w:eastAsia="zh-CN"/>
        </w:rPr>
        <w:t>有关部门应</w:t>
      </w:r>
      <w:r>
        <w:rPr>
          <w:rFonts w:hint="eastAsia" w:ascii="仿宋_GB2312" w:hAnsi="仿宋_GB2312" w:eastAsia="仿宋_GB2312" w:cs="仿宋_GB2312"/>
          <w:b w:val="0"/>
          <w:bCs w:val="0"/>
          <w:i w:val="0"/>
          <w:iCs w:val="0"/>
          <w:color w:val="auto"/>
          <w:spacing w:val="7"/>
          <w:sz w:val="32"/>
          <w:szCs w:val="32"/>
        </w:rPr>
        <w:t>优先将资源禀赋良好、与大田相邻、可以达到高标准农田建设标准的地块纳入耕地占补平衡专项规划并有序实施。</w:t>
      </w:r>
    </w:p>
    <w:p w14:paraId="21108914">
      <w:pPr>
        <w:pStyle w:val="6"/>
        <w:widowControl w:val="0"/>
        <w:wordWrap/>
        <w:adjustRightInd/>
        <w:snapToGrid/>
        <w:spacing w:before="0" w:after="0" w:line="640" w:lineRule="exact"/>
        <w:ind w:left="0" w:leftChars="0" w:right="0" w:firstLine="335" w:firstLineChars="100"/>
        <w:jc w:val="both"/>
        <w:textAlignment w:val="auto"/>
        <w:outlineLvl w:val="9"/>
        <w:rPr>
          <w:rFonts w:hint="eastAsia" w:ascii="仿宋_GB2312" w:hAnsi="仿宋_GB2312" w:eastAsia="仿宋_GB2312" w:cs="仿宋_GB2312"/>
          <w:b w:val="0"/>
          <w:bCs w:val="0"/>
          <w:i w:val="0"/>
          <w:iCs w:val="0"/>
          <w:color w:val="auto"/>
          <w:spacing w:val="7"/>
          <w:sz w:val="32"/>
          <w:szCs w:val="32"/>
        </w:rPr>
      </w:pPr>
      <w:r>
        <w:rPr>
          <w:rFonts w:hint="eastAsia" w:ascii="仿宋_GB2312" w:hAnsi="仿宋_GB2312" w:eastAsia="仿宋_GB2312" w:cs="仿宋_GB2312"/>
          <w:b/>
          <w:bCs/>
          <w:i w:val="0"/>
          <w:iCs w:val="0"/>
          <w:color w:val="auto"/>
          <w:spacing w:val="7"/>
          <w:sz w:val="32"/>
          <w:szCs w:val="32"/>
        </w:rPr>
        <w:t>第八条</w:t>
      </w:r>
      <w:r>
        <w:rPr>
          <w:rFonts w:hint="eastAsia" w:ascii="仿宋_GB2312" w:hAnsi="仿宋_GB2312" w:eastAsia="仿宋_GB2312" w:cs="仿宋_GB2312"/>
          <w:b/>
          <w:bCs/>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严禁不顾土地实际利用现状，盲目造地、虚假造地。禁止在生态保护红线、自然保护地、自然湿地、25度以上陡坡、城镇开发边界、河流湖泊岸线等不稳定利用区域新垦造耕地。严重沙化土地、严重石漠化土地、河湖管理范围、重点林区及公益林等区域原则上不作为补充耕地来源。未利用地开发原则上控制在新一轮全国耕地后备资源调查确定的宜耕后备资源范围内。</w:t>
      </w:r>
    </w:p>
    <w:p w14:paraId="564D048C">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 xml:space="preserve">第三章 </w:t>
      </w:r>
      <w:r>
        <w:rPr>
          <w:rStyle w:val="9"/>
          <w:rFonts w:hint="eastAsia" w:ascii="黑体" w:hAnsi="黑体" w:eastAsia="黑体" w:cs="黑体"/>
          <w:i w:val="0"/>
          <w:iCs w:val="0"/>
          <w:caps w:val="0"/>
          <w:color w:val="auto"/>
          <w:spacing w:val="0"/>
          <w:sz w:val="32"/>
          <w:szCs w:val="32"/>
          <w:lang w:eastAsia="zh-CN"/>
        </w:rPr>
        <w:t xml:space="preserve"> </w:t>
      </w:r>
      <w:r>
        <w:rPr>
          <w:rStyle w:val="9"/>
          <w:rFonts w:hint="eastAsia" w:ascii="黑体" w:hAnsi="黑体" w:eastAsia="黑体" w:cs="黑体"/>
          <w:i w:val="0"/>
          <w:iCs w:val="0"/>
          <w:caps w:val="0"/>
          <w:color w:val="auto"/>
          <w:spacing w:val="0"/>
          <w:sz w:val="32"/>
          <w:szCs w:val="32"/>
        </w:rPr>
        <w:t>补充耕地实施</w:t>
      </w:r>
    </w:p>
    <w:p w14:paraId="41356F8C">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第九条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补充耕地实施类型分为项目形式和非项目形式，鼓励以项目形式实施补充耕地，补充耕地应按规定配套建设农田基础设施。</w:t>
      </w:r>
    </w:p>
    <w:p w14:paraId="39E431E6">
      <w:pPr>
        <w:widowControl w:val="0"/>
        <w:wordWrap/>
        <w:adjustRightInd/>
        <w:snapToGrid/>
        <w:spacing w:before="0" w:after="0" w:line="640" w:lineRule="exact"/>
        <w:ind w:left="0" w:leftChars="0" w:right="0" w:firstLine="335" w:firstLineChars="100"/>
        <w:jc w:val="both"/>
        <w:textAlignment w:val="auto"/>
        <w:outlineLvl w:val="9"/>
        <w:rPr>
          <w:rFonts w:hint="eastAsia" w:ascii="仿宋_GB2312" w:hAnsi="仿宋_GB2312" w:eastAsia="仿宋_GB2312" w:cs="仿宋_GB2312"/>
          <w:b w:val="0"/>
          <w:bCs w:val="0"/>
          <w:i w:val="0"/>
          <w:iCs w:val="0"/>
          <w:color w:val="auto"/>
          <w:spacing w:val="7"/>
          <w:sz w:val="32"/>
          <w:szCs w:val="32"/>
        </w:rPr>
      </w:pPr>
      <w:r>
        <w:rPr>
          <w:rFonts w:hint="eastAsia" w:ascii="仿宋_GB2312" w:hAnsi="仿宋_GB2312" w:eastAsia="仿宋_GB2312" w:cs="仿宋_GB2312"/>
          <w:b/>
          <w:bCs/>
          <w:i w:val="0"/>
          <w:iCs w:val="0"/>
          <w:color w:val="auto"/>
          <w:spacing w:val="7"/>
          <w:kern w:val="0"/>
          <w:sz w:val="32"/>
          <w:szCs w:val="32"/>
          <w:lang w:val="en-US" w:eastAsia="zh-CN" w:bidi="ar-SA"/>
        </w:rPr>
        <w:t xml:space="preserve">第十条 </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以项目形式实施的补充耕地，</w:t>
      </w:r>
      <w:r>
        <w:rPr>
          <w:rFonts w:hint="eastAsia" w:ascii="仿宋_GB2312" w:hAnsi="仿宋_GB2312" w:eastAsia="仿宋_GB2312" w:cs="仿宋_GB2312"/>
          <w:b w:val="0"/>
          <w:bCs w:val="0"/>
          <w:i w:val="0"/>
          <w:iCs w:val="0"/>
          <w:color w:val="auto"/>
          <w:spacing w:val="7"/>
          <w:sz w:val="32"/>
          <w:szCs w:val="32"/>
          <w:lang w:eastAsia="zh-CN"/>
        </w:rPr>
        <w:t>由县</w:t>
      </w:r>
      <w:r>
        <w:rPr>
          <w:rFonts w:hint="eastAsia" w:ascii="仿宋_GB2312" w:hAnsi="仿宋_GB2312" w:eastAsia="仿宋_GB2312" w:cs="仿宋_GB2312"/>
          <w:b w:val="0"/>
          <w:bCs w:val="0"/>
          <w:i w:val="0"/>
          <w:iCs w:val="0"/>
          <w:color w:val="auto"/>
          <w:spacing w:val="7"/>
          <w:sz w:val="32"/>
          <w:szCs w:val="32"/>
          <w:lang w:val="en-US" w:eastAsia="zh-CN"/>
        </w:rPr>
        <w:t>政府</w:t>
      </w:r>
      <w:r>
        <w:rPr>
          <w:rFonts w:hint="eastAsia" w:ascii="仿宋_GB2312" w:hAnsi="仿宋_GB2312" w:eastAsia="仿宋_GB2312" w:cs="仿宋_GB2312"/>
          <w:b w:val="0"/>
          <w:bCs w:val="0"/>
          <w:i w:val="0"/>
          <w:iCs w:val="0"/>
          <w:color w:val="auto"/>
          <w:spacing w:val="7"/>
          <w:sz w:val="32"/>
          <w:szCs w:val="32"/>
          <w:lang w:eastAsia="zh-CN"/>
        </w:rPr>
        <w:t>相关部门或</w:t>
      </w:r>
      <w:r>
        <w:rPr>
          <w:rFonts w:hint="eastAsia" w:ascii="仿宋_GB2312" w:hAnsi="仿宋_GB2312" w:eastAsia="仿宋_GB2312" w:cs="仿宋_GB2312"/>
          <w:b w:val="0"/>
          <w:bCs w:val="0"/>
          <w:i w:val="0"/>
          <w:iCs w:val="0"/>
          <w:color w:val="auto"/>
          <w:spacing w:val="7"/>
          <w:sz w:val="32"/>
          <w:szCs w:val="32"/>
        </w:rPr>
        <w:t>乡镇政府作为项目实施单位组织申报，报县政府批准立项。项目立项、规划设计、预算编制、实施、工程质量检验与评定、验收等环节应遵循国家、省制定的技术规程和标准，参与项目施工、设计、测绘、监理等从业单位应具备相应资质。高标准农田、生态修复、全域土地综合整治等其他项目遵循其相关规定。</w:t>
      </w:r>
    </w:p>
    <w:p w14:paraId="74739FCF">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b w:val="0"/>
          <w:bCs w:val="0"/>
          <w:i w:val="0"/>
          <w:iCs w:val="0"/>
          <w:color w:val="auto"/>
          <w:spacing w:val="7"/>
          <w:sz w:val="32"/>
          <w:szCs w:val="32"/>
        </w:rPr>
      </w:pPr>
      <w:r>
        <w:rPr>
          <w:rFonts w:hint="eastAsia" w:ascii="仿宋_GB2312" w:hAnsi="仿宋_GB2312" w:eastAsia="仿宋_GB2312" w:cs="仿宋_GB2312"/>
          <w:b/>
          <w:bCs/>
          <w:i w:val="0"/>
          <w:iCs w:val="0"/>
          <w:color w:val="auto"/>
          <w:spacing w:val="7"/>
          <w:sz w:val="32"/>
          <w:szCs w:val="32"/>
          <w:lang w:eastAsia="zh-CN"/>
        </w:rPr>
        <w:t>第十一条</w:t>
      </w:r>
      <w:r>
        <w:rPr>
          <w:rFonts w:hint="eastAsia" w:ascii="仿宋_GB2312" w:hAnsi="仿宋_GB2312" w:eastAsia="仿宋_GB2312" w:cs="仿宋_GB2312"/>
          <w:b/>
          <w:bCs/>
          <w:i w:val="0"/>
          <w:iCs w:val="0"/>
          <w:color w:val="auto"/>
          <w:spacing w:val="7"/>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项目</w:t>
      </w:r>
      <w:r>
        <w:rPr>
          <w:rFonts w:hint="eastAsia" w:ascii="仿宋_GB2312" w:hAnsi="仿宋_GB2312" w:eastAsia="仿宋_GB2312" w:cs="仿宋_GB2312"/>
          <w:i w:val="0"/>
          <w:iCs w:val="0"/>
          <w:caps w:val="0"/>
          <w:color w:val="auto"/>
          <w:spacing w:val="0"/>
          <w:sz w:val="32"/>
          <w:szCs w:val="32"/>
        </w:rPr>
        <w:t>建设单位按照建设项目管理要求，依法严格执行项目法人、招投标、公告、合同、监理、审计等项目管理制度，编制项目规划设计和资金预算方案。</w:t>
      </w:r>
    </w:p>
    <w:p w14:paraId="16C3ED95">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第十</w:t>
      </w:r>
      <w:r>
        <w:rPr>
          <w:rFonts w:hint="eastAsia" w:ascii="仿宋_GB2312" w:hAnsi="仿宋_GB2312" w:eastAsia="仿宋_GB2312" w:cs="仿宋_GB2312"/>
          <w:b/>
          <w:bCs/>
          <w:i w:val="0"/>
          <w:iCs w:val="0"/>
          <w:color w:val="auto"/>
          <w:spacing w:val="7"/>
          <w:sz w:val="32"/>
          <w:szCs w:val="32"/>
          <w:lang w:val="en-US" w:eastAsia="zh-CN"/>
        </w:rPr>
        <w:t>二</w:t>
      </w:r>
      <w:r>
        <w:rPr>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补充耕地项目立项申报须提交以下材料：</w:t>
      </w:r>
    </w:p>
    <w:p w14:paraId="5B438ED0">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olor w:val="auto"/>
          <w:spacing w:val="7"/>
          <w:sz w:val="32"/>
          <w:szCs w:val="32"/>
        </w:rPr>
        <w:t>1．项目立项申请书；</w:t>
      </w:r>
    </w:p>
    <w:p w14:paraId="7A17A225">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olor w:val="auto"/>
          <w:spacing w:val="7"/>
          <w:sz w:val="32"/>
          <w:szCs w:val="32"/>
        </w:rPr>
        <w:t>2．项目可行性研究报告及相关图件；</w:t>
      </w:r>
    </w:p>
    <w:p w14:paraId="5D3C276E">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olor w:val="auto"/>
          <w:spacing w:val="7"/>
          <w:sz w:val="32"/>
          <w:szCs w:val="32"/>
        </w:rPr>
        <w:t>3．土地权利人意见；</w:t>
      </w:r>
    </w:p>
    <w:p w14:paraId="351196CC">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olor w:val="auto"/>
          <w:spacing w:val="7"/>
          <w:sz w:val="32"/>
          <w:szCs w:val="32"/>
        </w:rPr>
        <w:t>4．拟开垦耕地的土壤污染状况调查报告；</w:t>
      </w:r>
    </w:p>
    <w:p w14:paraId="40BC75FF">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olor w:val="auto"/>
          <w:spacing w:val="7"/>
          <w:sz w:val="32"/>
          <w:szCs w:val="32"/>
        </w:rPr>
        <w:t>5．其他相关资料。</w:t>
      </w:r>
    </w:p>
    <w:p w14:paraId="3F5E2F0C">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第十</w:t>
      </w:r>
      <w:r>
        <w:rPr>
          <w:rFonts w:hint="eastAsia" w:ascii="仿宋_GB2312" w:hAnsi="仿宋_GB2312" w:eastAsia="仿宋_GB2312" w:cs="仿宋_GB2312"/>
          <w:b/>
          <w:bCs/>
          <w:i w:val="0"/>
          <w:iCs w:val="0"/>
          <w:color w:val="auto"/>
          <w:spacing w:val="7"/>
          <w:sz w:val="32"/>
          <w:szCs w:val="32"/>
          <w:lang w:val="en-US" w:eastAsia="zh-CN"/>
        </w:rPr>
        <w:t>三</w:t>
      </w:r>
      <w:r>
        <w:rPr>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县政府在项目立项批复前，应组织</w:t>
      </w:r>
      <w:r>
        <w:rPr>
          <w:rFonts w:hint="eastAsia" w:ascii="仿宋_GB2312" w:hAnsi="仿宋_GB2312" w:eastAsia="仿宋_GB2312" w:cs="仿宋_GB2312"/>
          <w:b w:val="0"/>
          <w:bCs w:val="0"/>
          <w:i w:val="0"/>
          <w:iCs w:val="0"/>
          <w:color w:val="auto"/>
          <w:spacing w:val="7"/>
          <w:sz w:val="32"/>
          <w:szCs w:val="32"/>
          <w:lang w:val="en-US" w:eastAsia="zh-CN"/>
        </w:rPr>
        <w:t>县</w:t>
      </w:r>
      <w:r>
        <w:rPr>
          <w:rFonts w:hint="eastAsia" w:ascii="仿宋_GB2312" w:hAnsi="仿宋_GB2312" w:eastAsia="仿宋_GB2312" w:cs="仿宋_GB2312"/>
          <w:b w:val="0"/>
          <w:bCs w:val="0"/>
          <w:i w:val="0"/>
          <w:iCs w:val="0"/>
          <w:color w:val="auto"/>
          <w:spacing w:val="7"/>
          <w:sz w:val="32"/>
          <w:szCs w:val="32"/>
        </w:rPr>
        <w:t>自然资源、农业农村、</w:t>
      </w:r>
      <w:r>
        <w:rPr>
          <w:rFonts w:hint="eastAsia" w:ascii="仿宋_GB2312" w:hAnsi="仿宋_GB2312" w:eastAsia="仿宋_GB2312" w:cs="仿宋_GB2312"/>
          <w:b w:val="0"/>
          <w:bCs w:val="0"/>
          <w:i w:val="0"/>
          <w:iCs w:val="0"/>
          <w:color w:val="auto"/>
          <w:spacing w:val="7"/>
          <w:sz w:val="32"/>
          <w:szCs w:val="32"/>
          <w:lang w:eastAsia="zh-CN"/>
        </w:rPr>
        <w:t>财政、交通运输、</w:t>
      </w:r>
      <w:r>
        <w:rPr>
          <w:rFonts w:hint="eastAsia" w:ascii="仿宋_GB2312" w:hAnsi="仿宋_GB2312" w:eastAsia="仿宋_GB2312" w:cs="仿宋_GB2312"/>
          <w:b w:val="0"/>
          <w:bCs w:val="0"/>
          <w:i w:val="0"/>
          <w:iCs w:val="0"/>
          <w:color w:val="auto"/>
          <w:spacing w:val="7"/>
          <w:sz w:val="32"/>
          <w:szCs w:val="32"/>
        </w:rPr>
        <w:t>水利、林业</w:t>
      </w:r>
      <w:r>
        <w:rPr>
          <w:rFonts w:hint="eastAsia" w:ascii="仿宋_GB2312" w:hAnsi="仿宋_GB2312" w:eastAsia="仿宋_GB2312" w:cs="仿宋_GB2312"/>
          <w:b w:val="0"/>
          <w:bCs w:val="0"/>
          <w:i w:val="0"/>
          <w:iCs w:val="0"/>
          <w:color w:val="auto"/>
          <w:spacing w:val="7"/>
          <w:sz w:val="32"/>
          <w:szCs w:val="32"/>
          <w:lang w:eastAsia="zh-CN"/>
        </w:rPr>
        <w:t>、</w:t>
      </w:r>
      <w:r>
        <w:rPr>
          <w:rFonts w:hint="eastAsia" w:ascii="仿宋_GB2312" w:hAnsi="仿宋_GB2312" w:eastAsia="仿宋_GB2312" w:cs="仿宋_GB2312"/>
          <w:b w:val="0"/>
          <w:bCs w:val="0"/>
          <w:i w:val="0"/>
          <w:iCs w:val="0"/>
          <w:color w:val="auto"/>
          <w:spacing w:val="7"/>
          <w:sz w:val="32"/>
          <w:szCs w:val="32"/>
          <w:lang w:val="en-US" w:eastAsia="zh-CN"/>
        </w:rPr>
        <w:t>供电</w:t>
      </w:r>
      <w:r>
        <w:rPr>
          <w:rFonts w:hint="eastAsia" w:ascii="仿宋_GB2312" w:hAnsi="仿宋_GB2312" w:eastAsia="仿宋_GB2312" w:cs="仿宋_GB2312"/>
          <w:b w:val="0"/>
          <w:bCs w:val="0"/>
          <w:i w:val="0"/>
          <w:iCs w:val="0"/>
          <w:color w:val="auto"/>
          <w:spacing w:val="7"/>
          <w:sz w:val="32"/>
          <w:szCs w:val="32"/>
          <w:lang w:eastAsia="zh-CN"/>
        </w:rPr>
        <w:t>、环保</w:t>
      </w:r>
      <w:r>
        <w:rPr>
          <w:rFonts w:hint="eastAsia" w:ascii="仿宋_GB2312" w:hAnsi="仿宋_GB2312" w:eastAsia="仿宋_GB2312" w:cs="仿宋_GB2312"/>
          <w:b w:val="0"/>
          <w:bCs w:val="0"/>
          <w:i w:val="0"/>
          <w:iCs w:val="0"/>
          <w:color w:val="auto"/>
          <w:spacing w:val="7"/>
          <w:sz w:val="32"/>
          <w:szCs w:val="32"/>
        </w:rPr>
        <w:t>等相关部门、专家对拟立项项目进行实地踏勘、论证</w:t>
      </w:r>
      <w:r>
        <w:rPr>
          <w:rFonts w:hint="eastAsia" w:ascii="仿宋_GB2312" w:hAnsi="仿宋_GB2312" w:eastAsia="仿宋_GB2312" w:cs="仿宋_GB2312"/>
          <w:b w:val="0"/>
          <w:bCs w:val="0"/>
          <w:i w:val="0"/>
          <w:iCs w:val="0"/>
          <w:color w:val="auto"/>
          <w:spacing w:val="7"/>
          <w:sz w:val="32"/>
          <w:szCs w:val="32"/>
          <w:lang w:eastAsia="zh-CN"/>
        </w:rPr>
        <w:t>，对项目规划设计及投资进行评审。</w:t>
      </w:r>
      <w:r>
        <w:rPr>
          <w:rFonts w:hint="eastAsia" w:ascii="仿宋_GB2312" w:hAnsi="仿宋_GB2312" w:eastAsia="仿宋_GB2312" w:cs="仿宋_GB2312"/>
          <w:b w:val="0"/>
          <w:bCs w:val="0"/>
          <w:i w:val="0"/>
          <w:iCs w:val="0"/>
          <w:color w:val="auto"/>
          <w:spacing w:val="7"/>
          <w:sz w:val="32"/>
          <w:szCs w:val="32"/>
          <w:lang w:val="en-US" w:eastAsia="zh-CN"/>
        </w:rPr>
        <w:t>县</w:t>
      </w:r>
      <w:r>
        <w:rPr>
          <w:rFonts w:hint="eastAsia" w:ascii="仿宋_GB2312" w:hAnsi="仿宋_GB2312" w:eastAsia="仿宋_GB2312" w:cs="仿宋_GB2312"/>
          <w:b w:val="0"/>
          <w:bCs w:val="0"/>
          <w:i w:val="0"/>
          <w:iCs w:val="0"/>
          <w:color w:val="auto"/>
          <w:spacing w:val="7"/>
          <w:sz w:val="32"/>
          <w:szCs w:val="32"/>
        </w:rPr>
        <w:t>自然资源、农业农村、</w:t>
      </w:r>
      <w:r>
        <w:rPr>
          <w:rFonts w:hint="eastAsia" w:ascii="仿宋_GB2312" w:hAnsi="仿宋_GB2312" w:eastAsia="仿宋_GB2312" w:cs="仿宋_GB2312"/>
          <w:b w:val="0"/>
          <w:bCs w:val="0"/>
          <w:i w:val="0"/>
          <w:iCs w:val="0"/>
          <w:color w:val="auto"/>
          <w:spacing w:val="7"/>
          <w:sz w:val="32"/>
          <w:szCs w:val="32"/>
          <w:lang w:eastAsia="zh-CN"/>
        </w:rPr>
        <w:t>财政、交通运输、</w:t>
      </w:r>
      <w:r>
        <w:rPr>
          <w:rFonts w:hint="eastAsia" w:ascii="仿宋_GB2312" w:hAnsi="仿宋_GB2312" w:eastAsia="仿宋_GB2312" w:cs="仿宋_GB2312"/>
          <w:b w:val="0"/>
          <w:bCs w:val="0"/>
          <w:i w:val="0"/>
          <w:iCs w:val="0"/>
          <w:color w:val="auto"/>
          <w:spacing w:val="7"/>
          <w:sz w:val="32"/>
          <w:szCs w:val="32"/>
        </w:rPr>
        <w:t>水利、林业</w:t>
      </w:r>
      <w:r>
        <w:rPr>
          <w:rFonts w:hint="eastAsia" w:ascii="仿宋_GB2312" w:hAnsi="仿宋_GB2312" w:eastAsia="仿宋_GB2312" w:cs="仿宋_GB2312"/>
          <w:b w:val="0"/>
          <w:bCs w:val="0"/>
          <w:i w:val="0"/>
          <w:iCs w:val="0"/>
          <w:color w:val="auto"/>
          <w:spacing w:val="7"/>
          <w:sz w:val="32"/>
          <w:szCs w:val="32"/>
          <w:lang w:eastAsia="zh-CN"/>
        </w:rPr>
        <w:t>、</w:t>
      </w:r>
      <w:r>
        <w:rPr>
          <w:rFonts w:hint="eastAsia" w:ascii="仿宋_GB2312" w:hAnsi="仿宋_GB2312" w:eastAsia="仿宋_GB2312" w:cs="仿宋_GB2312"/>
          <w:b w:val="0"/>
          <w:bCs w:val="0"/>
          <w:i w:val="0"/>
          <w:iCs w:val="0"/>
          <w:color w:val="auto"/>
          <w:spacing w:val="7"/>
          <w:sz w:val="32"/>
          <w:szCs w:val="32"/>
          <w:lang w:val="en-US" w:eastAsia="zh-CN"/>
        </w:rPr>
        <w:t>供电</w:t>
      </w:r>
      <w:r>
        <w:rPr>
          <w:rFonts w:hint="eastAsia" w:ascii="仿宋_GB2312" w:hAnsi="仿宋_GB2312" w:eastAsia="仿宋_GB2312" w:cs="仿宋_GB2312"/>
          <w:b w:val="0"/>
          <w:bCs w:val="0"/>
          <w:i w:val="0"/>
          <w:iCs w:val="0"/>
          <w:color w:val="auto"/>
          <w:spacing w:val="7"/>
          <w:sz w:val="32"/>
          <w:szCs w:val="32"/>
          <w:lang w:eastAsia="zh-CN"/>
        </w:rPr>
        <w:t>、环保</w:t>
      </w:r>
      <w:r>
        <w:rPr>
          <w:rFonts w:hint="eastAsia" w:ascii="仿宋_GB2312" w:hAnsi="仿宋_GB2312" w:eastAsia="仿宋_GB2312" w:cs="仿宋_GB2312"/>
          <w:b w:val="0"/>
          <w:bCs w:val="0"/>
          <w:i w:val="0"/>
          <w:iCs w:val="0"/>
          <w:color w:val="auto"/>
          <w:spacing w:val="7"/>
          <w:sz w:val="32"/>
          <w:szCs w:val="32"/>
        </w:rPr>
        <w:t>等相关部门</w:t>
      </w:r>
      <w:r>
        <w:rPr>
          <w:rFonts w:hint="eastAsia" w:ascii="仿宋_GB2312" w:hAnsi="仿宋_GB2312" w:eastAsia="仿宋_GB2312" w:cs="仿宋_GB2312"/>
          <w:i w:val="0"/>
          <w:iCs w:val="0"/>
          <w:caps w:val="0"/>
          <w:color w:val="auto"/>
          <w:spacing w:val="0"/>
          <w:sz w:val="32"/>
          <w:szCs w:val="32"/>
        </w:rPr>
        <w:t>依据项目</w:t>
      </w:r>
      <w:r>
        <w:rPr>
          <w:rFonts w:hint="eastAsia" w:ascii="仿宋_GB2312" w:hAnsi="仿宋_GB2312" w:eastAsia="仿宋_GB2312" w:cs="仿宋_GB2312"/>
          <w:i w:val="0"/>
          <w:iCs w:val="0"/>
          <w:caps w:val="0"/>
          <w:color w:val="auto"/>
          <w:spacing w:val="0"/>
          <w:sz w:val="32"/>
          <w:szCs w:val="32"/>
          <w:lang w:eastAsia="zh-CN"/>
        </w:rPr>
        <w:t>论证、评审情况分别</w:t>
      </w:r>
      <w:r>
        <w:rPr>
          <w:rFonts w:hint="eastAsia" w:ascii="仿宋_GB2312" w:hAnsi="仿宋_GB2312" w:eastAsia="仿宋_GB2312" w:cs="仿宋_GB2312"/>
          <w:i w:val="0"/>
          <w:iCs w:val="0"/>
          <w:caps w:val="0"/>
          <w:color w:val="auto"/>
          <w:spacing w:val="0"/>
          <w:sz w:val="32"/>
          <w:szCs w:val="32"/>
        </w:rPr>
        <w:t>出具</w:t>
      </w:r>
      <w:r>
        <w:rPr>
          <w:rFonts w:hint="eastAsia" w:ascii="仿宋_GB2312" w:hAnsi="仿宋_GB2312" w:eastAsia="仿宋_GB2312" w:cs="仿宋_GB2312"/>
          <w:i w:val="0"/>
          <w:iCs w:val="0"/>
          <w:caps w:val="0"/>
          <w:color w:val="auto"/>
          <w:spacing w:val="0"/>
          <w:sz w:val="32"/>
          <w:szCs w:val="32"/>
          <w:lang w:eastAsia="zh-CN"/>
        </w:rPr>
        <w:t>评审意见</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b w:val="0"/>
          <w:bCs w:val="0"/>
          <w:i w:val="0"/>
          <w:iCs w:val="0"/>
          <w:color w:val="auto"/>
          <w:spacing w:val="7"/>
          <w:sz w:val="32"/>
          <w:szCs w:val="32"/>
        </w:rPr>
        <w:t>防止虚假立项、定价虚高、选址不当等现象发生。</w:t>
      </w:r>
    </w:p>
    <w:p w14:paraId="6895A31B">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b w:val="0"/>
          <w:bCs w:val="0"/>
          <w:i w:val="0"/>
          <w:iCs w:val="0"/>
          <w:color w:val="auto"/>
          <w:spacing w:val="7"/>
          <w:sz w:val="32"/>
          <w:szCs w:val="32"/>
        </w:rPr>
      </w:pPr>
      <w:r>
        <w:rPr>
          <w:rFonts w:hint="eastAsia" w:ascii="仿宋_GB2312" w:hAnsi="仿宋_GB2312" w:eastAsia="仿宋_GB2312" w:cs="仿宋_GB2312"/>
          <w:b/>
          <w:bCs/>
          <w:i w:val="0"/>
          <w:iCs w:val="0"/>
          <w:color w:val="auto"/>
          <w:spacing w:val="7"/>
          <w:sz w:val="32"/>
          <w:szCs w:val="32"/>
        </w:rPr>
        <w:t>第十</w:t>
      </w:r>
      <w:r>
        <w:rPr>
          <w:rFonts w:hint="eastAsia" w:ascii="仿宋_GB2312" w:hAnsi="仿宋_GB2312" w:eastAsia="仿宋_GB2312" w:cs="仿宋_GB2312"/>
          <w:b/>
          <w:bCs/>
          <w:i w:val="0"/>
          <w:iCs w:val="0"/>
          <w:color w:val="auto"/>
          <w:spacing w:val="7"/>
          <w:sz w:val="32"/>
          <w:szCs w:val="32"/>
          <w:lang w:val="en-US" w:eastAsia="zh-CN"/>
        </w:rPr>
        <w:t>四</w:t>
      </w:r>
      <w:r>
        <w:rPr>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bCs/>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以项目形式实施补充耕地，按照项目基本建设程序和管理要求，执行招投标、公告、监理、审计等项目管理制度。项目资金实行专款专用、专账核算，任何单位和个人不得截留、挪用；属于社会资本投资的，</w:t>
      </w:r>
      <w:r>
        <w:rPr>
          <w:rFonts w:hint="eastAsia" w:ascii="仿宋_GB2312" w:hAnsi="仿宋_GB2312" w:eastAsia="仿宋_GB2312" w:cs="仿宋_GB2312"/>
          <w:b w:val="0"/>
          <w:bCs w:val="0"/>
          <w:i w:val="0"/>
          <w:iCs w:val="0"/>
          <w:color w:val="auto"/>
          <w:spacing w:val="7"/>
          <w:sz w:val="32"/>
          <w:szCs w:val="32"/>
          <w:lang w:eastAsia="zh-CN"/>
        </w:rPr>
        <w:t>需</w:t>
      </w:r>
      <w:r>
        <w:rPr>
          <w:rFonts w:hint="eastAsia" w:ascii="仿宋_GB2312" w:hAnsi="仿宋_GB2312" w:eastAsia="仿宋_GB2312" w:cs="仿宋_GB2312"/>
          <w:b w:val="0"/>
          <w:bCs w:val="0"/>
          <w:i w:val="0"/>
          <w:iCs w:val="0"/>
          <w:color w:val="auto"/>
          <w:spacing w:val="7"/>
          <w:sz w:val="32"/>
          <w:szCs w:val="32"/>
        </w:rPr>
        <w:t>由社会资本方与</w:t>
      </w:r>
      <w:r>
        <w:rPr>
          <w:rFonts w:hint="eastAsia" w:ascii="仿宋_GB2312" w:hAnsi="仿宋_GB2312" w:eastAsia="仿宋_GB2312" w:cs="仿宋_GB2312"/>
          <w:b w:val="0"/>
          <w:bCs w:val="0"/>
          <w:i w:val="0"/>
          <w:iCs w:val="0"/>
          <w:color w:val="auto"/>
          <w:spacing w:val="7"/>
          <w:sz w:val="32"/>
          <w:szCs w:val="32"/>
          <w:lang w:val="en-US" w:eastAsia="zh-CN"/>
        </w:rPr>
        <w:t>县、乡镇</w:t>
      </w:r>
      <w:r>
        <w:rPr>
          <w:rFonts w:hint="eastAsia" w:ascii="仿宋_GB2312" w:hAnsi="仿宋_GB2312" w:eastAsia="仿宋_GB2312" w:cs="仿宋_GB2312"/>
          <w:b w:val="0"/>
          <w:bCs w:val="0"/>
          <w:i w:val="0"/>
          <w:iCs w:val="0"/>
          <w:color w:val="auto"/>
          <w:spacing w:val="7"/>
          <w:sz w:val="32"/>
          <w:szCs w:val="32"/>
        </w:rPr>
        <w:t>政府协商建立共管账户，约定监管规则，确保投资用于项目实施。</w:t>
      </w:r>
    </w:p>
    <w:p w14:paraId="725069CB">
      <w:pPr>
        <w:pStyle w:val="6"/>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firstLineChars="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olor w:val="auto"/>
          <w:spacing w:val="7"/>
          <w:sz w:val="32"/>
          <w:szCs w:val="32"/>
          <w:lang w:val="en-US" w:eastAsia="zh-CN"/>
        </w:rPr>
        <w:t xml:space="preserve">第十五条 </w:t>
      </w:r>
      <w:r>
        <w:rPr>
          <w:rFonts w:hint="eastAsia" w:ascii="仿宋_GB2312" w:hAnsi="仿宋_GB2312" w:eastAsia="仿宋_GB2312" w:cs="仿宋_GB2312"/>
          <w:i w:val="0"/>
          <w:iCs w:val="0"/>
          <w:caps w:val="0"/>
          <w:color w:val="auto"/>
          <w:spacing w:val="0"/>
          <w:kern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经批准的项目规划设计，在项目实施过程中确需变更项目设计的，由项目施工单位向项目建设单位提出申请。项目建设单位组织施工单位、监理单位、规划设计单位、项目</w:t>
      </w:r>
      <w:r>
        <w:rPr>
          <w:rFonts w:hint="eastAsia" w:ascii="仿宋_GB2312" w:hAnsi="仿宋_GB2312" w:eastAsia="仿宋_GB2312" w:cs="仿宋_GB2312"/>
          <w:i w:val="0"/>
          <w:iCs w:val="0"/>
          <w:caps w:val="0"/>
          <w:color w:val="auto"/>
          <w:spacing w:val="0"/>
          <w:sz w:val="32"/>
          <w:szCs w:val="32"/>
          <w:lang w:eastAsia="zh-CN"/>
        </w:rPr>
        <w:t>所在地乡</w:t>
      </w:r>
      <w:r>
        <w:rPr>
          <w:rFonts w:hint="eastAsia" w:ascii="仿宋_GB2312" w:hAnsi="仿宋_GB2312" w:eastAsia="仿宋_GB2312" w:cs="仿宋_GB2312"/>
          <w:i w:val="0"/>
          <w:iCs w:val="0"/>
          <w:caps w:val="0"/>
          <w:color w:val="auto"/>
          <w:spacing w:val="0"/>
          <w:sz w:val="32"/>
          <w:szCs w:val="32"/>
        </w:rPr>
        <w:t>镇人民政府、村民委员会和相关农户代表，对申请变更的工程内容进行现场核实，并形成核实处理意见，报县</w:t>
      </w:r>
      <w:r>
        <w:rPr>
          <w:rFonts w:hint="eastAsia" w:ascii="仿宋_GB2312" w:hAnsi="仿宋_GB2312" w:eastAsia="仿宋_GB2312" w:cs="仿宋_GB2312"/>
          <w:i w:val="0"/>
          <w:iCs w:val="0"/>
          <w:caps w:val="0"/>
          <w:color w:val="auto"/>
          <w:spacing w:val="-6"/>
          <w:sz w:val="32"/>
          <w:szCs w:val="32"/>
        </w:rPr>
        <w:t>自然资源局和县财政局批准项目设计变更及资金预算调整方</w:t>
      </w:r>
      <w:r>
        <w:rPr>
          <w:rFonts w:hint="eastAsia" w:ascii="仿宋_GB2312" w:hAnsi="仿宋_GB2312" w:eastAsia="仿宋_GB2312" w:cs="仿宋_GB2312"/>
          <w:i w:val="0"/>
          <w:iCs w:val="0"/>
          <w:caps w:val="0"/>
          <w:color w:val="auto"/>
          <w:spacing w:val="0"/>
          <w:sz w:val="32"/>
          <w:szCs w:val="32"/>
        </w:rPr>
        <w:t>案。</w:t>
      </w:r>
    </w:p>
    <w:p w14:paraId="70C61133">
      <w:pPr>
        <w:pStyle w:val="6"/>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20" w:lineRule="exact"/>
        <w:ind w:left="0" w:leftChars="0" w:right="0" w:firstLine="420" w:firstLineChars="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olor w:val="auto"/>
          <w:spacing w:val="7"/>
          <w:sz w:val="32"/>
          <w:szCs w:val="32"/>
          <w:lang w:val="en-US" w:eastAsia="zh-CN"/>
        </w:rPr>
        <w:t xml:space="preserve">第十六条 </w:t>
      </w:r>
      <w:r>
        <w:rPr>
          <w:rFonts w:hint="eastAsia" w:ascii="仿宋_GB2312" w:hAnsi="仿宋_GB2312" w:eastAsia="仿宋_GB2312" w:cs="仿宋_GB2312"/>
          <w:i w:val="0"/>
          <w:iCs w:val="0"/>
          <w:caps w:val="0"/>
          <w:color w:val="auto"/>
          <w:spacing w:val="0"/>
          <w:kern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项目规划设计未经批准不得变更调整，擅自变更调整造成的损失由责任单位自行承担。</w:t>
      </w:r>
    </w:p>
    <w:p w14:paraId="51E3EF4C">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20" w:lineRule="exact"/>
        <w:ind w:left="0" w:leftChars="0" w:right="0" w:firstLine="42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第十</w:t>
      </w:r>
      <w:r>
        <w:rPr>
          <w:rFonts w:hint="eastAsia" w:ascii="仿宋_GB2312" w:hAnsi="仿宋_GB2312" w:eastAsia="仿宋_GB2312" w:cs="仿宋_GB2312"/>
          <w:b/>
          <w:bCs/>
          <w:i w:val="0"/>
          <w:iCs w:val="0"/>
          <w:color w:val="auto"/>
          <w:spacing w:val="7"/>
          <w:sz w:val="32"/>
          <w:szCs w:val="32"/>
          <w:lang w:val="en-US" w:eastAsia="zh-CN"/>
        </w:rPr>
        <w:t>七</w:t>
      </w:r>
      <w:r>
        <w:rPr>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bCs/>
          <w:i w:val="0"/>
          <w:iCs w:val="0"/>
          <w:color w:val="auto"/>
          <w:spacing w:val="7"/>
          <w:sz w:val="32"/>
          <w:szCs w:val="32"/>
          <w:lang w:val="en-US" w:eastAsia="zh-CN"/>
        </w:rPr>
        <w:t xml:space="preserve"> </w:t>
      </w:r>
      <w:r>
        <w:rPr>
          <w:rFonts w:hint="eastAsia" w:ascii="仿宋_GB2312" w:hAnsi="仿宋_GB2312" w:eastAsia="仿宋_GB2312" w:cs="仿宋_GB2312"/>
          <w:b/>
          <w:bCs/>
          <w:i w:val="0"/>
          <w:iCs w:val="0"/>
          <w:color w:val="auto"/>
          <w:spacing w:val="7"/>
          <w:sz w:val="32"/>
          <w:szCs w:val="32"/>
        </w:rPr>
        <w:t xml:space="preserve"> </w:t>
      </w:r>
      <w:r>
        <w:rPr>
          <w:rFonts w:hint="eastAsia" w:ascii="仿宋_GB2312" w:hAnsi="仿宋_GB2312" w:eastAsia="仿宋_GB2312" w:cs="仿宋_GB2312"/>
          <w:i w:val="0"/>
          <w:iCs w:val="0"/>
          <w:caps w:val="0"/>
          <w:color w:val="auto"/>
          <w:spacing w:val="0"/>
          <w:sz w:val="32"/>
          <w:szCs w:val="32"/>
        </w:rPr>
        <w:t>项目建设单位</w:t>
      </w:r>
      <w:r>
        <w:rPr>
          <w:rFonts w:hint="eastAsia" w:ascii="仿宋_GB2312" w:hAnsi="仿宋_GB2312" w:eastAsia="仿宋_GB2312" w:cs="仿宋_GB2312"/>
          <w:i w:val="0"/>
          <w:iCs w:val="0"/>
          <w:caps w:val="0"/>
          <w:color w:val="auto"/>
          <w:spacing w:val="0"/>
          <w:sz w:val="32"/>
          <w:szCs w:val="32"/>
          <w:lang w:eastAsia="zh-CN"/>
        </w:rPr>
        <w:t>应对</w:t>
      </w:r>
      <w:r>
        <w:rPr>
          <w:rFonts w:hint="eastAsia" w:ascii="仿宋_GB2312" w:hAnsi="仿宋_GB2312" w:eastAsia="仿宋_GB2312" w:cs="仿宋_GB2312"/>
          <w:i w:val="0"/>
          <w:iCs w:val="0"/>
          <w:caps w:val="0"/>
          <w:color w:val="auto"/>
          <w:spacing w:val="0"/>
          <w:sz w:val="32"/>
          <w:szCs w:val="32"/>
        </w:rPr>
        <w:t>项目实施</w:t>
      </w:r>
      <w:r>
        <w:rPr>
          <w:rFonts w:hint="eastAsia" w:ascii="仿宋_GB2312" w:hAnsi="仿宋_GB2312" w:eastAsia="仿宋_GB2312" w:cs="仿宋_GB2312"/>
          <w:i w:val="0"/>
          <w:iCs w:val="0"/>
          <w:caps w:val="0"/>
          <w:color w:val="auto"/>
          <w:spacing w:val="0"/>
          <w:sz w:val="32"/>
          <w:szCs w:val="32"/>
          <w:lang w:eastAsia="zh-CN"/>
        </w:rPr>
        <w:t>进行</w:t>
      </w:r>
      <w:r>
        <w:rPr>
          <w:rFonts w:hint="eastAsia" w:ascii="仿宋_GB2312" w:hAnsi="仿宋_GB2312" w:eastAsia="仿宋_GB2312" w:cs="仿宋_GB2312"/>
          <w:i w:val="0"/>
          <w:iCs w:val="0"/>
          <w:caps w:val="0"/>
          <w:color w:val="auto"/>
          <w:spacing w:val="0"/>
          <w:sz w:val="32"/>
          <w:szCs w:val="32"/>
        </w:rPr>
        <w:t>常态化监督检查。督促项目施工单位严格按照规划设计组织施工，确保工程质量。</w:t>
      </w:r>
    </w:p>
    <w:p w14:paraId="743A6BC4">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20" w:lineRule="exact"/>
        <w:ind w:left="0" w:leftChars="0" w:right="0" w:firstLine="42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第十</w:t>
      </w:r>
      <w:r>
        <w:rPr>
          <w:rFonts w:hint="eastAsia" w:ascii="仿宋_GB2312" w:hAnsi="仿宋_GB2312" w:eastAsia="仿宋_GB2312" w:cs="仿宋_GB2312"/>
          <w:b/>
          <w:bCs/>
          <w:i w:val="0"/>
          <w:iCs w:val="0"/>
          <w:color w:val="auto"/>
          <w:spacing w:val="7"/>
          <w:sz w:val="32"/>
          <w:szCs w:val="32"/>
          <w:lang w:val="en-US" w:eastAsia="zh-CN"/>
        </w:rPr>
        <w:t>八</w:t>
      </w:r>
      <w:r>
        <w:rPr>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立项类项目监理单位应当对项目实施全程监管。补充耕地项目实施应当接受所在地村集体经济组织、村民监督小组的监督。</w:t>
      </w:r>
    </w:p>
    <w:p w14:paraId="4C615439">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20" w:lineRule="exact"/>
        <w:ind w:left="0" w:leftChars="0" w:right="0" w:firstLine="420" w:firstLineChars="0"/>
        <w:jc w:val="both"/>
        <w:textAlignment w:val="auto"/>
        <w:outlineLvl w:val="9"/>
        <w:rPr>
          <w:rFonts w:hint="eastAsia" w:ascii="仿宋_GB2312" w:hAnsi="仿宋_GB2312" w:eastAsia="仿宋_GB2312" w:cs="仿宋_GB2312"/>
          <w:b w:val="0"/>
          <w:bCs w:val="0"/>
          <w:i w:val="0"/>
          <w:iCs w:val="0"/>
          <w:color w:val="auto"/>
          <w:spacing w:val="7"/>
          <w:sz w:val="32"/>
          <w:szCs w:val="32"/>
          <w:lang w:eastAsia="zh-CN"/>
        </w:rPr>
      </w:pPr>
      <w:r>
        <w:rPr>
          <w:rFonts w:hint="eastAsia" w:ascii="仿宋_GB2312" w:hAnsi="仿宋_GB2312" w:eastAsia="仿宋_GB2312" w:cs="仿宋_GB2312"/>
          <w:b/>
          <w:bCs/>
          <w:i w:val="0"/>
          <w:iCs w:val="0"/>
          <w:caps w:val="0"/>
          <w:color w:val="auto"/>
          <w:spacing w:val="0"/>
          <w:sz w:val="32"/>
          <w:szCs w:val="32"/>
        </w:rPr>
        <w:t>第十</w:t>
      </w:r>
      <w:r>
        <w:rPr>
          <w:rFonts w:hint="eastAsia" w:ascii="仿宋_GB2312" w:hAnsi="仿宋_GB2312" w:eastAsia="仿宋_GB2312" w:cs="仿宋_GB2312"/>
          <w:b/>
          <w:bCs/>
          <w:i w:val="0"/>
          <w:iCs w:val="0"/>
          <w:caps w:val="0"/>
          <w:color w:val="auto"/>
          <w:spacing w:val="0"/>
          <w:sz w:val="32"/>
          <w:szCs w:val="32"/>
          <w:lang w:val="en-US" w:eastAsia="zh-CN"/>
        </w:rPr>
        <w:t>九</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b/>
          <w:bCs/>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rPr>
        <w:t>项目建设单位应当在项目实施地点设立标志牌，对项目设计单位、工程施工单位、工程监理单位、项目规模、工程内容、建设工期等主要信息进行公开，接受社会监督</w:t>
      </w:r>
      <w:r>
        <w:rPr>
          <w:rFonts w:hint="eastAsia" w:ascii="仿宋_GB2312" w:hAnsi="仿宋_GB2312" w:eastAsia="仿宋_GB2312" w:cs="仿宋_GB2312"/>
          <w:i w:val="0"/>
          <w:iCs w:val="0"/>
          <w:caps w:val="0"/>
          <w:color w:val="auto"/>
          <w:spacing w:val="0"/>
          <w:sz w:val="32"/>
          <w:szCs w:val="32"/>
          <w:lang w:eastAsia="zh-CN"/>
        </w:rPr>
        <w:t>。</w:t>
      </w:r>
    </w:p>
    <w:p w14:paraId="5D7730C2">
      <w:pPr>
        <w:pStyle w:val="6"/>
        <w:widowControl w:val="0"/>
        <w:wordWrap/>
        <w:adjustRightInd/>
        <w:snapToGrid/>
        <w:spacing w:before="0" w:after="0" w:line="620" w:lineRule="exact"/>
        <w:ind w:left="0" w:leftChars="0" w:right="0" w:firstLine="42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pacing w:val="7"/>
          <w:sz w:val="32"/>
          <w:szCs w:val="32"/>
        </w:rPr>
        <w:t>第</w:t>
      </w:r>
      <w:r>
        <w:rPr>
          <w:rFonts w:hint="eastAsia" w:ascii="仿宋_GB2312" w:hAnsi="仿宋_GB2312" w:eastAsia="仿宋_GB2312" w:cs="仿宋_GB2312"/>
          <w:b/>
          <w:bCs/>
          <w:i w:val="0"/>
          <w:iCs w:val="0"/>
          <w:color w:val="auto"/>
          <w:spacing w:val="7"/>
          <w:sz w:val="32"/>
          <w:szCs w:val="32"/>
          <w:lang w:val="en-US" w:eastAsia="zh-CN"/>
        </w:rPr>
        <w:t>二十</w:t>
      </w:r>
      <w:r>
        <w:rPr>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以项目形式实施补充耕地，项目竣工后，</w:t>
      </w:r>
      <w:r>
        <w:rPr>
          <w:rFonts w:hint="eastAsia" w:ascii="仿宋_GB2312" w:hAnsi="仿宋_GB2312" w:eastAsia="仿宋_GB2312" w:cs="仿宋_GB2312"/>
          <w:b w:val="0"/>
          <w:bCs w:val="0"/>
          <w:i w:val="0"/>
          <w:iCs w:val="0"/>
          <w:color w:val="auto"/>
          <w:spacing w:val="7"/>
          <w:sz w:val="32"/>
          <w:szCs w:val="32"/>
          <w:lang w:eastAsia="zh-CN"/>
        </w:rPr>
        <w:t>由县自然资源局</w:t>
      </w:r>
      <w:r>
        <w:rPr>
          <w:rFonts w:hint="eastAsia" w:ascii="仿宋_GB2312" w:hAnsi="仿宋_GB2312" w:eastAsia="仿宋_GB2312" w:cs="仿宋_GB2312"/>
          <w:b w:val="0"/>
          <w:bCs w:val="0"/>
          <w:i w:val="0"/>
          <w:iCs w:val="0"/>
          <w:color w:val="auto"/>
          <w:spacing w:val="7"/>
          <w:sz w:val="32"/>
          <w:szCs w:val="32"/>
        </w:rPr>
        <w:t>将新增耕地及时纳入国土变更调查</w:t>
      </w:r>
      <w:r>
        <w:rPr>
          <w:rFonts w:hint="eastAsia" w:ascii="仿宋_GB2312" w:hAnsi="仿宋_GB2312" w:eastAsia="仿宋_GB2312" w:cs="仿宋_GB2312"/>
          <w:b w:val="0"/>
          <w:bCs w:val="0"/>
          <w:i w:val="0"/>
          <w:iCs w:val="0"/>
          <w:color w:val="auto"/>
          <w:spacing w:val="7"/>
          <w:sz w:val="32"/>
          <w:szCs w:val="32"/>
          <w:lang w:eastAsia="zh-CN"/>
        </w:rPr>
        <w:t>范围</w:t>
      </w:r>
      <w:r>
        <w:rPr>
          <w:rFonts w:hint="eastAsia" w:ascii="仿宋_GB2312" w:hAnsi="仿宋_GB2312" w:eastAsia="仿宋_GB2312" w:cs="仿宋_GB2312"/>
          <w:b w:val="0"/>
          <w:bCs w:val="0"/>
          <w:i w:val="0"/>
          <w:iCs w:val="0"/>
          <w:color w:val="auto"/>
          <w:spacing w:val="7"/>
          <w:sz w:val="32"/>
          <w:szCs w:val="32"/>
        </w:rPr>
        <w:t>，由项目实施单位根据变更后的最新国土变更调查成果向县级政府提出项目验收申请。</w:t>
      </w:r>
    </w:p>
    <w:p w14:paraId="462B091A">
      <w:pPr>
        <w:pStyle w:val="6"/>
        <w:widowControl w:val="0"/>
        <w:wordWrap/>
        <w:adjustRightInd/>
        <w:snapToGrid/>
        <w:spacing w:before="0" w:after="0" w:line="620" w:lineRule="exact"/>
        <w:ind w:left="0" w:leftChars="0" w:right="0" w:firstLine="420" w:firstLineChars="0"/>
        <w:jc w:val="both"/>
        <w:textAlignment w:val="auto"/>
        <w:outlineLvl w:val="9"/>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b/>
          <w:bCs/>
          <w:i w:val="0"/>
          <w:iCs w:val="0"/>
          <w:color w:val="auto"/>
          <w:spacing w:val="7"/>
          <w:sz w:val="32"/>
          <w:szCs w:val="32"/>
        </w:rPr>
        <w:t>第</w:t>
      </w:r>
      <w:r>
        <w:rPr>
          <w:rStyle w:val="9"/>
          <w:rFonts w:hint="eastAsia" w:ascii="仿宋_GB2312" w:hAnsi="仿宋_GB2312" w:eastAsia="仿宋_GB2312" w:cs="仿宋_GB2312"/>
          <w:b/>
          <w:bCs/>
          <w:i w:val="0"/>
          <w:iCs w:val="0"/>
          <w:color w:val="auto"/>
          <w:spacing w:val="7"/>
          <w:sz w:val="32"/>
          <w:szCs w:val="32"/>
          <w:lang w:eastAsia="zh-CN"/>
        </w:rPr>
        <w:t>二十</w:t>
      </w:r>
      <w:r>
        <w:rPr>
          <w:rStyle w:val="9"/>
          <w:rFonts w:hint="eastAsia" w:ascii="仿宋_GB2312" w:hAnsi="仿宋_GB2312" w:eastAsia="仿宋_GB2312" w:cs="仿宋_GB2312"/>
          <w:b/>
          <w:bCs/>
          <w:i w:val="0"/>
          <w:iCs w:val="0"/>
          <w:color w:val="auto"/>
          <w:spacing w:val="7"/>
          <w:sz w:val="32"/>
          <w:szCs w:val="32"/>
          <w:lang w:val="en-US" w:eastAsia="zh-CN"/>
        </w:rPr>
        <w:t>一</w:t>
      </w:r>
      <w:r>
        <w:rPr>
          <w:rStyle w:val="9"/>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对农村集体经济组织、农户和新型农业经营主体等以非项目形式产生的新增耕地，由</w:t>
      </w:r>
      <w:r>
        <w:rPr>
          <w:rFonts w:hint="eastAsia" w:ascii="仿宋_GB2312" w:hAnsi="仿宋_GB2312" w:eastAsia="仿宋_GB2312" w:cs="仿宋_GB2312"/>
          <w:b w:val="0"/>
          <w:bCs w:val="0"/>
          <w:i w:val="0"/>
          <w:iCs w:val="0"/>
          <w:color w:val="auto"/>
          <w:spacing w:val="7"/>
          <w:sz w:val="32"/>
          <w:szCs w:val="32"/>
          <w:lang w:val="en-US" w:eastAsia="zh-CN"/>
        </w:rPr>
        <w:t>县</w:t>
      </w:r>
      <w:r>
        <w:rPr>
          <w:rFonts w:hint="eastAsia" w:ascii="仿宋_GB2312" w:hAnsi="仿宋_GB2312" w:eastAsia="仿宋_GB2312" w:cs="仿宋_GB2312"/>
          <w:b w:val="0"/>
          <w:bCs w:val="0"/>
          <w:i w:val="0"/>
          <w:iCs w:val="0"/>
          <w:color w:val="auto"/>
          <w:spacing w:val="7"/>
          <w:sz w:val="32"/>
          <w:szCs w:val="32"/>
        </w:rPr>
        <w:t>自然资源主管部门根据国土变更调查成果和实地踏勘结果核定补充耕地数量，由</w:t>
      </w:r>
      <w:r>
        <w:rPr>
          <w:rFonts w:hint="eastAsia" w:ascii="仿宋_GB2312" w:hAnsi="仿宋_GB2312" w:eastAsia="仿宋_GB2312" w:cs="仿宋_GB2312"/>
          <w:b w:val="0"/>
          <w:bCs w:val="0"/>
          <w:i w:val="0"/>
          <w:iCs w:val="0"/>
          <w:color w:val="auto"/>
          <w:spacing w:val="7"/>
          <w:sz w:val="32"/>
          <w:szCs w:val="32"/>
          <w:lang w:val="en-US" w:eastAsia="zh-CN"/>
        </w:rPr>
        <w:t>县</w:t>
      </w:r>
      <w:r>
        <w:rPr>
          <w:rFonts w:hint="eastAsia" w:ascii="仿宋_GB2312" w:hAnsi="仿宋_GB2312" w:eastAsia="仿宋_GB2312" w:cs="仿宋_GB2312"/>
          <w:b w:val="0"/>
          <w:bCs w:val="0"/>
          <w:i w:val="0"/>
          <w:iCs w:val="0"/>
          <w:color w:val="auto"/>
          <w:spacing w:val="7"/>
          <w:sz w:val="32"/>
          <w:szCs w:val="32"/>
        </w:rPr>
        <w:t>农业农村主管部门鉴定补充耕地质量。优先将禀赋良好、集中连片、后期管护责任明确的稳定耕地作为补充耕地。</w:t>
      </w:r>
    </w:p>
    <w:p w14:paraId="672BEF80">
      <w:pPr>
        <w:pStyle w:val="6"/>
        <w:widowControl w:val="0"/>
        <w:wordWrap/>
        <w:adjustRightInd/>
        <w:snapToGrid/>
        <w:spacing w:before="0" w:after="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b/>
          <w:bCs/>
          <w:i w:val="0"/>
          <w:iCs w:val="0"/>
          <w:color w:val="auto"/>
          <w:spacing w:val="7"/>
          <w:sz w:val="32"/>
          <w:szCs w:val="32"/>
        </w:rPr>
        <w:t>第</w:t>
      </w:r>
      <w:r>
        <w:rPr>
          <w:rStyle w:val="9"/>
          <w:rFonts w:hint="eastAsia" w:ascii="仿宋_GB2312" w:hAnsi="仿宋_GB2312" w:eastAsia="仿宋_GB2312" w:cs="仿宋_GB2312"/>
          <w:b/>
          <w:bCs/>
          <w:i w:val="0"/>
          <w:iCs w:val="0"/>
          <w:color w:val="auto"/>
          <w:spacing w:val="7"/>
          <w:sz w:val="32"/>
          <w:szCs w:val="32"/>
          <w:lang w:eastAsia="zh-CN"/>
        </w:rPr>
        <w:t>二十</w:t>
      </w:r>
      <w:r>
        <w:rPr>
          <w:rStyle w:val="9"/>
          <w:rFonts w:hint="eastAsia" w:ascii="仿宋_GB2312" w:hAnsi="仿宋_GB2312" w:eastAsia="仿宋_GB2312" w:cs="仿宋_GB2312"/>
          <w:b/>
          <w:bCs/>
          <w:i w:val="0"/>
          <w:iCs w:val="0"/>
          <w:color w:val="auto"/>
          <w:spacing w:val="7"/>
          <w:sz w:val="32"/>
          <w:szCs w:val="32"/>
          <w:lang w:val="en-US" w:eastAsia="zh-CN"/>
        </w:rPr>
        <w:t>二</w:t>
      </w:r>
      <w:r>
        <w:rPr>
          <w:rStyle w:val="9"/>
          <w:rFonts w:hint="eastAsia" w:ascii="仿宋_GB2312" w:hAnsi="仿宋_GB2312" w:eastAsia="仿宋_GB2312" w:cs="仿宋_GB2312"/>
          <w:b/>
          <w:bCs/>
          <w:i w:val="0"/>
          <w:iCs w:val="0"/>
          <w:color w:val="auto"/>
          <w:spacing w:val="7"/>
          <w:sz w:val="32"/>
          <w:szCs w:val="32"/>
        </w:rPr>
        <w:t>条</w:t>
      </w:r>
      <w:r>
        <w:rPr>
          <w:rFonts w:hint="eastAsia" w:ascii="仿宋_GB2312" w:hAnsi="仿宋_GB2312" w:eastAsia="仿宋_GB2312" w:cs="仿宋_GB2312"/>
          <w:b w:val="0"/>
          <w:bCs w:val="0"/>
          <w:i w:val="0"/>
          <w:iCs w:val="0"/>
          <w:color w:val="auto"/>
          <w:spacing w:val="7"/>
          <w:sz w:val="32"/>
          <w:szCs w:val="32"/>
          <w:lang w:eastAsia="zh-CN"/>
        </w:rPr>
        <w:t xml:space="preserve"> </w:t>
      </w:r>
      <w:r>
        <w:rPr>
          <w:rFonts w:hint="eastAsia" w:ascii="仿宋_GB2312" w:hAnsi="仿宋_GB2312" w:eastAsia="仿宋_GB2312" w:cs="仿宋_GB2312"/>
          <w:b w:val="0"/>
          <w:bCs w:val="0"/>
          <w:i w:val="0"/>
          <w:iCs w:val="0"/>
          <w:color w:val="auto"/>
          <w:spacing w:val="7"/>
          <w:sz w:val="32"/>
          <w:szCs w:val="32"/>
        </w:rPr>
        <w:t xml:space="preserve"> 对补充耕地指标来源于农村集体经济组织、农户和新型农业经营主体等垦造或恢复的，</w:t>
      </w:r>
      <w:r>
        <w:rPr>
          <w:rFonts w:hint="eastAsia" w:ascii="仿宋_GB2312" w:hAnsi="仿宋_GB2312" w:eastAsia="仿宋_GB2312" w:cs="仿宋_GB2312"/>
          <w:b w:val="0"/>
          <w:bCs w:val="0"/>
          <w:i w:val="0"/>
          <w:iCs w:val="0"/>
          <w:color w:val="auto"/>
          <w:spacing w:val="7"/>
          <w:sz w:val="32"/>
          <w:szCs w:val="32"/>
          <w:lang w:eastAsia="zh-CN"/>
        </w:rPr>
        <w:t>县政府</w:t>
      </w:r>
      <w:r>
        <w:rPr>
          <w:rFonts w:hint="eastAsia" w:ascii="仿宋_GB2312" w:hAnsi="仿宋_GB2312" w:eastAsia="仿宋_GB2312" w:cs="仿宋_GB2312"/>
          <w:b w:val="0"/>
          <w:bCs w:val="0"/>
          <w:i w:val="0"/>
          <w:iCs w:val="0"/>
          <w:color w:val="auto"/>
          <w:spacing w:val="7"/>
          <w:sz w:val="32"/>
          <w:szCs w:val="32"/>
        </w:rPr>
        <w:t>结合实际，在补充耕地指标统筹使用前，按照不低于耕地开垦费标准给予奖励和补偿。</w:t>
      </w:r>
    </w:p>
    <w:p w14:paraId="6AE2E658">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第</w:t>
      </w:r>
      <w:r>
        <w:rPr>
          <w:rStyle w:val="9"/>
          <w:rFonts w:hint="eastAsia" w:ascii="黑体" w:hAnsi="黑体" w:eastAsia="黑体" w:cs="黑体"/>
          <w:i w:val="0"/>
          <w:iCs w:val="0"/>
          <w:caps w:val="0"/>
          <w:color w:val="auto"/>
          <w:spacing w:val="0"/>
          <w:sz w:val="32"/>
          <w:szCs w:val="32"/>
          <w:lang w:val="en-US" w:eastAsia="zh-CN"/>
        </w:rPr>
        <w:t>四</w:t>
      </w:r>
      <w:r>
        <w:rPr>
          <w:rStyle w:val="9"/>
          <w:rFonts w:hint="eastAsia" w:ascii="黑体" w:hAnsi="黑体" w:eastAsia="黑体" w:cs="黑体"/>
          <w:i w:val="0"/>
          <w:iCs w:val="0"/>
          <w:caps w:val="0"/>
          <w:color w:val="auto"/>
          <w:spacing w:val="0"/>
          <w:sz w:val="32"/>
          <w:szCs w:val="32"/>
        </w:rPr>
        <w:t>章  项目验收</w:t>
      </w:r>
    </w:p>
    <w:p w14:paraId="7ABE464F">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eastAsia="zh-CN"/>
        </w:rPr>
        <w:t>二十</w:t>
      </w:r>
      <w:r>
        <w:rPr>
          <w:rFonts w:hint="eastAsia" w:ascii="仿宋_GB2312" w:hAnsi="仿宋_GB2312" w:eastAsia="仿宋_GB2312" w:cs="仿宋_GB2312"/>
          <w:b/>
          <w:bCs/>
          <w:i w:val="0"/>
          <w:iCs w:val="0"/>
          <w:caps w:val="0"/>
          <w:color w:val="auto"/>
          <w:spacing w:val="0"/>
          <w:sz w:val="32"/>
          <w:szCs w:val="32"/>
          <w:lang w:val="en-US" w:eastAsia="zh-CN"/>
        </w:rPr>
        <w:t>三</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b/>
          <w:bCs/>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rPr>
        <w:t>项目竣工后，项目建设单位书面向县农业农村局提出补充耕地质量鉴定申请。由县农业农村局负责对补充耕地质量进行鉴定，包括农业生产符合性评价和耕地质量等级评价，鉴定结果作为补充耕地质量验收的依据。</w:t>
      </w:r>
    </w:p>
    <w:p w14:paraId="4F679F2A">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eastAsia="zh-CN"/>
        </w:rPr>
        <w:t>二十</w:t>
      </w:r>
      <w:r>
        <w:rPr>
          <w:rFonts w:hint="eastAsia" w:ascii="仿宋_GB2312" w:hAnsi="仿宋_GB2312" w:eastAsia="仿宋_GB2312" w:cs="仿宋_GB2312"/>
          <w:b/>
          <w:bCs/>
          <w:i w:val="0"/>
          <w:iCs w:val="0"/>
          <w:caps w:val="0"/>
          <w:color w:val="auto"/>
          <w:spacing w:val="0"/>
          <w:sz w:val="32"/>
          <w:szCs w:val="32"/>
          <w:lang w:val="en-US" w:eastAsia="zh-CN"/>
        </w:rPr>
        <w:t>四</w:t>
      </w:r>
      <w:r>
        <w:rPr>
          <w:rFonts w:hint="eastAsia" w:ascii="仿宋_GB2312" w:hAnsi="仿宋_GB2312" w:eastAsia="仿宋_GB2312" w:cs="仿宋_GB2312"/>
          <w:b/>
          <w:bCs/>
          <w:i w:val="0"/>
          <w:iCs w:val="0"/>
          <w:caps w:val="0"/>
          <w:color w:val="auto"/>
          <w:spacing w:val="0"/>
          <w:sz w:val="32"/>
          <w:szCs w:val="32"/>
        </w:rPr>
        <w:t xml:space="preserve">条 </w:t>
      </w:r>
      <w:r>
        <w:rPr>
          <w:rFonts w:hint="eastAsia" w:ascii="仿宋_GB2312" w:hAnsi="仿宋_GB2312" w:eastAsia="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补充耕地质量鉴定通过后，由县自然资源局会同县农业农村局，组织</w:t>
      </w:r>
      <w:r>
        <w:rPr>
          <w:rFonts w:hint="eastAsia" w:ascii="仿宋_GB2312" w:hAnsi="仿宋_GB2312" w:eastAsia="仿宋_GB2312" w:cs="仿宋_GB2312"/>
          <w:i w:val="0"/>
          <w:iCs w:val="0"/>
          <w:caps w:val="0"/>
          <w:color w:val="auto"/>
          <w:spacing w:val="0"/>
          <w:sz w:val="32"/>
          <w:szCs w:val="32"/>
          <w:lang w:val="en-US" w:eastAsia="zh-CN"/>
        </w:rPr>
        <w:t>县</w:t>
      </w:r>
      <w:r>
        <w:rPr>
          <w:rFonts w:hint="eastAsia" w:ascii="仿宋_GB2312" w:hAnsi="仿宋_GB2312" w:eastAsia="仿宋_GB2312" w:cs="仿宋_GB2312"/>
          <w:i w:val="0"/>
          <w:iCs w:val="0"/>
          <w:caps w:val="0"/>
          <w:color w:val="auto"/>
          <w:spacing w:val="0"/>
          <w:sz w:val="32"/>
          <w:szCs w:val="32"/>
        </w:rPr>
        <w:t>财政、交通运输、林业、水利</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供电</w:t>
      </w:r>
      <w:r>
        <w:rPr>
          <w:rFonts w:hint="eastAsia" w:ascii="仿宋_GB2312" w:hAnsi="仿宋_GB2312" w:eastAsia="仿宋_GB2312" w:cs="仿宋_GB2312"/>
          <w:i w:val="0"/>
          <w:iCs w:val="0"/>
          <w:caps w:val="0"/>
          <w:color w:val="auto"/>
          <w:spacing w:val="0"/>
          <w:sz w:val="32"/>
          <w:szCs w:val="32"/>
          <w:lang w:eastAsia="zh-CN"/>
        </w:rPr>
        <w:t>、环保</w:t>
      </w:r>
      <w:r>
        <w:rPr>
          <w:rFonts w:hint="eastAsia" w:ascii="仿宋_GB2312" w:hAnsi="仿宋_GB2312" w:eastAsia="仿宋_GB2312" w:cs="仿宋_GB2312"/>
          <w:i w:val="0"/>
          <w:iCs w:val="0"/>
          <w:caps w:val="0"/>
          <w:color w:val="auto"/>
          <w:spacing w:val="0"/>
          <w:sz w:val="32"/>
          <w:szCs w:val="32"/>
        </w:rPr>
        <w:t>等有关部门，按照项目管理、土地变更调查、工程质量建设、项目验收等相关规范，对照竣工验收材料等进行实地勘验。县农业农村局负责对补充耕地地类、农田基础设施进行</w:t>
      </w:r>
      <w:r>
        <w:rPr>
          <w:rFonts w:hint="eastAsia" w:ascii="仿宋_GB2312" w:hAnsi="仿宋_GB2312" w:eastAsia="仿宋_GB2312" w:cs="仿宋_GB2312"/>
          <w:i w:val="0"/>
          <w:iCs w:val="0"/>
          <w:caps w:val="0"/>
          <w:color w:val="auto"/>
          <w:spacing w:val="0"/>
          <w:sz w:val="32"/>
          <w:szCs w:val="32"/>
          <w:lang w:eastAsia="zh-CN"/>
        </w:rPr>
        <w:t>审核</w:t>
      </w:r>
      <w:r>
        <w:rPr>
          <w:rFonts w:hint="eastAsia" w:ascii="仿宋_GB2312" w:hAnsi="仿宋_GB2312" w:eastAsia="仿宋_GB2312" w:cs="仿宋_GB2312"/>
          <w:i w:val="0"/>
          <w:iCs w:val="0"/>
          <w:caps w:val="0"/>
          <w:color w:val="auto"/>
          <w:spacing w:val="0"/>
          <w:sz w:val="32"/>
          <w:szCs w:val="32"/>
        </w:rPr>
        <w:t>认定，县自然资源局负责核定补充耕地数量，</w:t>
      </w:r>
      <w:r>
        <w:rPr>
          <w:rFonts w:hint="eastAsia" w:ascii="仿宋_GB2312" w:hAnsi="仿宋_GB2312" w:eastAsia="仿宋_GB2312" w:cs="仿宋_GB2312"/>
          <w:i w:val="0"/>
          <w:iCs w:val="0"/>
          <w:caps w:val="0"/>
          <w:color w:val="auto"/>
          <w:spacing w:val="0"/>
          <w:sz w:val="32"/>
          <w:szCs w:val="32"/>
          <w:lang w:val="en-US" w:eastAsia="zh-CN"/>
        </w:rPr>
        <w:t>县</w:t>
      </w:r>
      <w:r>
        <w:rPr>
          <w:rFonts w:hint="eastAsia" w:ascii="仿宋_GB2312" w:hAnsi="仿宋_GB2312" w:eastAsia="仿宋_GB2312" w:cs="仿宋_GB2312"/>
          <w:i w:val="0"/>
          <w:iCs w:val="0"/>
          <w:caps w:val="0"/>
          <w:color w:val="auto"/>
          <w:spacing w:val="0"/>
          <w:sz w:val="32"/>
          <w:szCs w:val="32"/>
          <w:lang w:eastAsia="zh-CN"/>
        </w:rPr>
        <w:t>财政、交通运输、林业、水利、</w:t>
      </w:r>
      <w:r>
        <w:rPr>
          <w:rFonts w:hint="eastAsia" w:ascii="仿宋_GB2312" w:hAnsi="仿宋_GB2312" w:eastAsia="仿宋_GB2312" w:cs="仿宋_GB2312"/>
          <w:i w:val="0"/>
          <w:iCs w:val="0"/>
          <w:caps w:val="0"/>
          <w:color w:val="auto"/>
          <w:spacing w:val="0"/>
          <w:sz w:val="32"/>
          <w:szCs w:val="32"/>
          <w:lang w:val="en-US" w:eastAsia="zh-CN"/>
        </w:rPr>
        <w:t>供</w:t>
      </w:r>
      <w:r>
        <w:rPr>
          <w:rFonts w:hint="eastAsia" w:ascii="仿宋_GB2312" w:hAnsi="仿宋_GB2312" w:eastAsia="仿宋_GB2312" w:cs="仿宋_GB2312"/>
          <w:i w:val="0"/>
          <w:iCs w:val="0"/>
          <w:caps w:val="0"/>
          <w:color w:val="auto"/>
          <w:spacing w:val="0"/>
          <w:sz w:val="32"/>
          <w:szCs w:val="32"/>
          <w:lang w:eastAsia="zh-CN"/>
        </w:rPr>
        <w:t>电等部门</w:t>
      </w:r>
      <w:r>
        <w:rPr>
          <w:rFonts w:hint="eastAsia" w:ascii="仿宋_GB2312" w:hAnsi="仿宋_GB2312" w:eastAsia="仿宋_GB2312" w:cs="仿宋_GB2312"/>
          <w:i w:val="0"/>
          <w:iCs w:val="0"/>
          <w:caps w:val="0"/>
          <w:color w:val="auto"/>
          <w:spacing w:val="0"/>
          <w:sz w:val="32"/>
          <w:szCs w:val="32"/>
        </w:rPr>
        <w:t>按照各自的职能，做好</w:t>
      </w:r>
      <w:r>
        <w:rPr>
          <w:rFonts w:hint="eastAsia" w:ascii="仿宋_GB2312" w:hAnsi="仿宋_GB2312" w:eastAsia="仿宋_GB2312" w:cs="仿宋_GB2312"/>
          <w:i w:val="0"/>
          <w:iCs w:val="0"/>
          <w:caps w:val="0"/>
          <w:color w:val="auto"/>
          <w:spacing w:val="0"/>
          <w:sz w:val="32"/>
          <w:szCs w:val="32"/>
          <w:lang w:eastAsia="zh-CN"/>
        </w:rPr>
        <w:t>相应</w:t>
      </w:r>
      <w:r>
        <w:rPr>
          <w:rFonts w:hint="eastAsia" w:ascii="仿宋_GB2312" w:hAnsi="仿宋_GB2312" w:eastAsia="仿宋_GB2312" w:cs="仿宋_GB2312"/>
          <w:i w:val="0"/>
          <w:iCs w:val="0"/>
          <w:caps w:val="0"/>
          <w:color w:val="auto"/>
          <w:spacing w:val="0"/>
          <w:sz w:val="32"/>
          <w:szCs w:val="32"/>
        </w:rPr>
        <w:t>工程建设内容核</w:t>
      </w:r>
      <w:r>
        <w:rPr>
          <w:rFonts w:hint="eastAsia" w:ascii="仿宋_GB2312" w:hAnsi="仿宋_GB2312" w:eastAsia="仿宋_GB2312" w:cs="仿宋_GB2312"/>
          <w:i w:val="0"/>
          <w:iCs w:val="0"/>
          <w:caps w:val="0"/>
          <w:color w:val="auto"/>
          <w:spacing w:val="0"/>
          <w:sz w:val="32"/>
          <w:szCs w:val="32"/>
          <w:lang w:eastAsia="zh-CN"/>
        </w:rPr>
        <w:t>实认定</w:t>
      </w:r>
      <w:r>
        <w:rPr>
          <w:rFonts w:hint="eastAsia" w:ascii="仿宋_GB2312" w:hAnsi="仿宋_GB2312" w:eastAsia="仿宋_GB2312" w:cs="仿宋_GB2312"/>
          <w:i w:val="0"/>
          <w:iCs w:val="0"/>
          <w:caps w:val="0"/>
          <w:color w:val="auto"/>
          <w:spacing w:val="0"/>
          <w:sz w:val="32"/>
          <w:szCs w:val="32"/>
        </w:rPr>
        <w:t>。</w:t>
      </w:r>
    </w:p>
    <w:p w14:paraId="3973BC2C">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eastAsia="zh-CN"/>
        </w:rPr>
        <w:t>二十</w:t>
      </w:r>
      <w:r>
        <w:rPr>
          <w:rFonts w:hint="eastAsia" w:ascii="仿宋_GB2312" w:hAnsi="仿宋_GB2312" w:eastAsia="仿宋_GB2312" w:cs="仿宋_GB2312"/>
          <w:b/>
          <w:bCs/>
          <w:i w:val="0"/>
          <w:iCs w:val="0"/>
          <w:caps w:val="0"/>
          <w:color w:val="auto"/>
          <w:spacing w:val="0"/>
          <w:sz w:val="32"/>
          <w:szCs w:val="32"/>
          <w:lang w:val="en-US" w:eastAsia="zh-CN"/>
        </w:rPr>
        <w:t>五</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县自然资源局会同县农业农村</w:t>
      </w:r>
      <w:r>
        <w:rPr>
          <w:rFonts w:hint="eastAsia" w:ascii="仿宋_GB2312" w:hAnsi="仿宋_GB2312" w:eastAsia="仿宋_GB2312" w:cs="仿宋_GB2312"/>
          <w:i w:val="0"/>
          <w:iCs w:val="0"/>
          <w:caps w:val="0"/>
          <w:color w:val="auto"/>
          <w:spacing w:val="0"/>
          <w:sz w:val="32"/>
          <w:szCs w:val="32"/>
          <w:lang w:eastAsia="zh-CN"/>
        </w:rPr>
        <w:t>、财政、交通运输、林业、水利、</w:t>
      </w:r>
      <w:r>
        <w:rPr>
          <w:rFonts w:hint="eastAsia" w:ascii="仿宋_GB2312" w:hAnsi="仿宋_GB2312" w:eastAsia="仿宋_GB2312" w:cs="仿宋_GB2312"/>
          <w:i w:val="0"/>
          <w:iCs w:val="0"/>
          <w:caps w:val="0"/>
          <w:color w:val="auto"/>
          <w:spacing w:val="0"/>
          <w:sz w:val="32"/>
          <w:szCs w:val="32"/>
          <w:lang w:val="en-US" w:eastAsia="zh-CN"/>
        </w:rPr>
        <w:t>供</w:t>
      </w:r>
      <w:r>
        <w:rPr>
          <w:rFonts w:hint="eastAsia" w:ascii="仿宋_GB2312" w:hAnsi="仿宋_GB2312" w:eastAsia="仿宋_GB2312" w:cs="仿宋_GB2312"/>
          <w:i w:val="0"/>
          <w:iCs w:val="0"/>
          <w:caps w:val="0"/>
          <w:color w:val="auto"/>
          <w:spacing w:val="0"/>
          <w:sz w:val="32"/>
          <w:szCs w:val="32"/>
          <w:lang w:eastAsia="zh-CN"/>
        </w:rPr>
        <w:t>电、环保等部门，</w:t>
      </w:r>
      <w:r>
        <w:rPr>
          <w:rFonts w:hint="eastAsia" w:ascii="仿宋_GB2312" w:hAnsi="仿宋_GB2312" w:eastAsia="仿宋_GB2312" w:cs="仿宋_GB2312"/>
          <w:i w:val="0"/>
          <w:iCs w:val="0"/>
          <w:caps w:val="0"/>
          <w:color w:val="auto"/>
          <w:spacing w:val="0"/>
          <w:sz w:val="32"/>
          <w:szCs w:val="32"/>
        </w:rPr>
        <w:t>按职能职责做好项目审查核</w:t>
      </w:r>
      <w:r>
        <w:rPr>
          <w:rFonts w:hint="eastAsia" w:ascii="仿宋_GB2312" w:hAnsi="仿宋_GB2312" w:eastAsia="仿宋_GB2312" w:cs="仿宋_GB2312"/>
          <w:i w:val="0"/>
          <w:iCs w:val="0"/>
          <w:caps w:val="0"/>
          <w:color w:val="auto"/>
          <w:spacing w:val="0"/>
          <w:sz w:val="32"/>
          <w:szCs w:val="32"/>
          <w:lang w:eastAsia="zh-CN"/>
        </w:rPr>
        <w:t>实</w:t>
      </w:r>
      <w:r>
        <w:rPr>
          <w:rFonts w:hint="eastAsia" w:ascii="仿宋_GB2312" w:hAnsi="仿宋_GB2312" w:eastAsia="仿宋_GB2312" w:cs="仿宋_GB2312"/>
          <w:i w:val="0"/>
          <w:iCs w:val="0"/>
          <w:caps w:val="0"/>
          <w:color w:val="auto"/>
          <w:spacing w:val="0"/>
          <w:sz w:val="32"/>
          <w:szCs w:val="32"/>
        </w:rPr>
        <w:t>，立项类补充耕地项目应对建设总规模、实际总投资、补充耕地（水田）面积、补充耕地质量、主要工程完成情况及数量等进行审查和现场核验；非立项类补充耕地项目验收应重点对恢复耕地的平整度、土壤砂砾含量、土壤有效耕作层厚度、项目区群众意愿等进行实地核验。</w:t>
      </w:r>
    </w:p>
    <w:p w14:paraId="5AFD883E">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第二十</w:t>
      </w:r>
      <w:r>
        <w:rPr>
          <w:rFonts w:hint="eastAsia" w:ascii="仿宋_GB2312" w:hAnsi="仿宋_GB2312" w:eastAsia="仿宋_GB2312" w:cs="仿宋_GB2312"/>
          <w:b/>
          <w:bCs/>
          <w:i w:val="0"/>
          <w:iCs w:val="0"/>
          <w:caps w:val="0"/>
          <w:color w:val="auto"/>
          <w:spacing w:val="0"/>
          <w:sz w:val="32"/>
          <w:szCs w:val="32"/>
          <w:lang w:val="en-US" w:eastAsia="zh-CN"/>
        </w:rPr>
        <w:t>六</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县自然资源</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农业农村</w:t>
      </w:r>
      <w:r>
        <w:rPr>
          <w:rFonts w:hint="eastAsia" w:ascii="仿宋_GB2312" w:hAnsi="仿宋_GB2312" w:eastAsia="仿宋_GB2312" w:cs="仿宋_GB2312"/>
          <w:i w:val="0"/>
          <w:iCs w:val="0"/>
          <w:caps w:val="0"/>
          <w:color w:val="auto"/>
          <w:spacing w:val="0"/>
          <w:sz w:val="32"/>
          <w:szCs w:val="32"/>
          <w:lang w:eastAsia="zh-CN"/>
        </w:rPr>
        <w:t>、财政、交通运输、林业、水利、</w:t>
      </w:r>
      <w:r>
        <w:rPr>
          <w:rFonts w:hint="eastAsia" w:ascii="仿宋_GB2312" w:hAnsi="仿宋_GB2312" w:eastAsia="仿宋_GB2312" w:cs="仿宋_GB2312"/>
          <w:i w:val="0"/>
          <w:iCs w:val="0"/>
          <w:caps w:val="0"/>
          <w:color w:val="auto"/>
          <w:spacing w:val="0"/>
          <w:sz w:val="32"/>
          <w:szCs w:val="32"/>
          <w:lang w:val="en-US" w:eastAsia="zh-CN"/>
        </w:rPr>
        <w:t>供</w:t>
      </w:r>
      <w:r>
        <w:rPr>
          <w:rFonts w:hint="eastAsia" w:ascii="仿宋_GB2312" w:hAnsi="仿宋_GB2312" w:eastAsia="仿宋_GB2312" w:cs="仿宋_GB2312"/>
          <w:i w:val="0"/>
          <w:iCs w:val="0"/>
          <w:caps w:val="0"/>
          <w:color w:val="auto"/>
          <w:spacing w:val="0"/>
          <w:sz w:val="32"/>
          <w:szCs w:val="32"/>
          <w:lang w:eastAsia="zh-CN"/>
        </w:rPr>
        <w:t>电、环保等部门</w:t>
      </w:r>
      <w:r>
        <w:rPr>
          <w:rFonts w:hint="eastAsia" w:ascii="仿宋_GB2312" w:hAnsi="仿宋_GB2312" w:eastAsia="仿宋_GB2312" w:cs="仿宋_GB2312"/>
          <w:i w:val="0"/>
          <w:iCs w:val="0"/>
          <w:caps w:val="0"/>
          <w:color w:val="auto"/>
          <w:spacing w:val="0"/>
          <w:sz w:val="32"/>
          <w:szCs w:val="32"/>
        </w:rPr>
        <w:t>依据项目</w:t>
      </w:r>
      <w:r>
        <w:rPr>
          <w:rFonts w:hint="eastAsia" w:ascii="仿宋_GB2312" w:hAnsi="仿宋_GB2312" w:eastAsia="仿宋_GB2312" w:cs="仿宋_GB2312"/>
          <w:i w:val="0"/>
          <w:iCs w:val="0"/>
          <w:caps w:val="0"/>
          <w:color w:val="auto"/>
          <w:spacing w:val="0"/>
          <w:sz w:val="32"/>
          <w:szCs w:val="32"/>
          <w:lang w:eastAsia="zh-CN"/>
        </w:rPr>
        <w:t>审核</w:t>
      </w:r>
      <w:r>
        <w:rPr>
          <w:rFonts w:hint="eastAsia" w:ascii="仿宋_GB2312" w:hAnsi="仿宋_GB2312" w:eastAsia="仿宋_GB2312" w:cs="仿宋_GB2312"/>
          <w:i w:val="0"/>
          <w:iCs w:val="0"/>
          <w:caps w:val="0"/>
          <w:color w:val="auto"/>
          <w:spacing w:val="0"/>
          <w:sz w:val="32"/>
          <w:szCs w:val="32"/>
        </w:rPr>
        <w:t>情况</w:t>
      </w:r>
      <w:r>
        <w:rPr>
          <w:rFonts w:hint="eastAsia" w:ascii="仿宋_GB2312" w:hAnsi="仿宋_GB2312" w:eastAsia="仿宋_GB2312" w:cs="仿宋_GB2312"/>
          <w:i w:val="0"/>
          <w:iCs w:val="0"/>
          <w:caps w:val="0"/>
          <w:color w:val="auto"/>
          <w:spacing w:val="0"/>
          <w:sz w:val="32"/>
          <w:szCs w:val="32"/>
          <w:lang w:eastAsia="zh-CN"/>
        </w:rPr>
        <w:t>分别</w:t>
      </w:r>
      <w:r>
        <w:rPr>
          <w:rFonts w:hint="eastAsia" w:ascii="仿宋_GB2312" w:hAnsi="仿宋_GB2312" w:eastAsia="仿宋_GB2312" w:cs="仿宋_GB2312"/>
          <w:i w:val="0"/>
          <w:iCs w:val="0"/>
          <w:caps w:val="0"/>
          <w:color w:val="auto"/>
          <w:spacing w:val="0"/>
          <w:sz w:val="32"/>
          <w:szCs w:val="32"/>
        </w:rPr>
        <w:t>出具补充耕地</w:t>
      </w:r>
      <w:r>
        <w:rPr>
          <w:rFonts w:hint="eastAsia" w:ascii="仿宋_GB2312" w:hAnsi="仿宋_GB2312" w:eastAsia="仿宋_GB2312" w:cs="仿宋_GB2312"/>
          <w:i w:val="0"/>
          <w:iCs w:val="0"/>
          <w:caps w:val="0"/>
          <w:color w:val="auto"/>
          <w:spacing w:val="0"/>
          <w:sz w:val="32"/>
          <w:szCs w:val="32"/>
          <w:lang w:eastAsia="zh-CN"/>
        </w:rPr>
        <w:t>审核意见</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eastAsia="zh-CN"/>
        </w:rPr>
        <w:t>审核意见</w:t>
      </w:r>
      <w:r>
        <w:rPr>
          <w:rFonts w:hint="eastAsia" w:ascii="仿宋_GB2312" w:hAnsi="仿宋_GB2312" w:eastAsia="仿宋_GB2312" w:cs="仿宋_GB2312"/>
          <w:i w:val="0"/>
          <w:iCs w:val="0"/>
          <w:caps w:val="0"/>
          <w:color w:val="auto"/>
          <w:spacing w:val="0"/>
          <w:sz w:val="32"/>
          <w:szCs w:val="32"/>
        </w:rPr>
        <w:t>应签章规范并附</w:t>
      </w:r>
      <w:r>
        <w:rPr>
          <w:rFonts w:hint="eastAsia" w:ascii="仿宋_GB2312" w:hAnsi="仿宋_GB2312" w:eastAsia="仿宋_GB2312" w:cs="仿宋_GB2312"/>
          <w:i w:val="0"/>
          <w:iCs w:val="0"/>
          <w:caps w:val="0"/>
          <w:color w:val="auto"/>
          <w:spacing w:val="0"/>
          <w:sz w:val="32"/>
          <w:szCs w:val="32"/>
          <w:lang w:eastAsia="zh-CN"/>
        </w:rPr>
        <w:t>审核</w:t>
      </w:r>
      <w:r>
        <w:rPr>
          <w:rFonts w:hint="eastAsia" w:ascii="仿宋_GB2312" w:hAnsi="仿宋_GB2312" w:eastAsia="仿宋_GB2312" w:cs="仿宋_GB2312"/>
          <w:i w:val="0"/>
          <w:iCs w:val="0"/>
          <w:caps w:val="0"/>
          <w:color w:val="auto"/>
          <w:spacing w:val="0"/>
          <w:sz w:val="32"/>
          <w:szCs w:val="32"/>
        </w:rPr>
        <w:t>组成员签名表，明确项目建设总规模、实际总投资、新增耕地、新增水田、</w:t>
      </w:r>
      <w:r>
        <w:rPr>
          <w:rFonts w:hint="eastAsia" w:ascii="仿宋_GB2312" w:hAnsi="仿宋_GB2312" w:eastAsia="仿宋_GB2312" w:cs="仿宋_GB2312"/>
          <w:i w:val="0"/>
          <w:iCs w:val="0"/>
          <w:caps w:val="0"/>
          <w:color w:val="auto"/>
          <w:spacing w:val="6"/>
          <w:sz w:val="32"/>
          <w:szCs w:val="32"/>
        </w:rPr>
        <w:t>提质改造耕地面积及前后利用等别、主要工程完成情况及数量</w:t>
      </w:r>
      <w:r>
        <w:rPr>
          <w:rFonts w:hint="eastAsia" w:ascii="仿宋_GB2312" w:hAnsi="仿宋_GB2312" w:eastAsia="仿宋_GB2312" w:cs="仿宋_GB2312"/>
          <w:i w:val="0"/>
          <w:iCs w:val="0"/>
          <w:caps w:val="0"/>
          <w:color w:val="auto"/>
          <w:spacing w:val="0"/>
          <w:sz w:val="32"/>
          <w:szCs w:val="32"/>
        </w:rPr>
        <w:t>等。</w:t>
      </w:r>
    </w:p>
    <w:p w14:paraId="4DEC49B5">
      <w:pPr>
        <w:widowControl w:val="0"/>
        <w:wordWrap/>
        <w:adjustRightInd/>
        <w:snapToGrid/>
        <w:spacing w:before="0" w:after="0" w:line="640" w:lineRule="exact"/>
        <w:ind w:left="0" w:leftChars="0" w:right="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eastAsia="zh-CN"/>
        </w:rPr>
        <w:t>第二十</w:t>
      </w:r>
      <w:r>
        <w:rPr>
          <w:rFonts w:hint="eastAsia" w:ascii="仿宋_GB2312" w:hAnsi="仿宋_GB2312" w:eastAsia="仿宋_GB2312" w:cs="仿宋_GB2312"/>
          <w:b/>
          <w:bCs/>
          <w:i w:val="0"/>
          <w:iCs w:val="0"/>
          <w:caps w:val="0"/>
          <w:color w:val="auto"/>
          <w:spacing w:val="0"/>
          <w:sz w:val="32"/>
          <w:szCs w:val="32"/>
          <w:lang w:val="en-US" w:eastAsia="zh-CN"/>
        </w:rPr>
        <w:t>七</w:t>
      </w:r>
      <w:r>
        <w:rPr>
          <w:rFonts w:hint="eastAsia" w:ascii="仿宋_GB2312" w:hAnsi="仿宋_GB2312" w:eastAsia="仿宋_GB2312" w:cs="仿宋_GB2312"/>
          <w:b/>
          <w:bCs/>
          <w:i w:val="0"/>
          <w:iCs w:val="0"/>
          <w:caps w:val="0"/>
          <w:color w:val="auto"/>
          <w:spacing w:val="0"/>
          <w:sz w:val="32"/>
          <w:szCs w:val="32"/>
          <w:lang w:eastAsia="zh-CN"/>
        </w:rPr>
        <w:t>条</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kern w:val="0"/>
          <w:sz w:val="32"/>
          <w:szCs w:val="32"/>
          <w:lang w:val="en-US" w:eastAsia="zh-CN"/>
        </w:rPr>
        <w:t>县政府根据项目验收申请及县自然资源、农业农村、财政、交通运输、林业、水利、供电、环保等部门审核意见，组织县自然资源、农业农村、生态环境、水利、林业等相关部门、专家对项目进行实地踏勘和综合验收，验收合格的，出具项目验收报告。</w:t>
      </w:r>
    </w:p>
    <w:p w14:paraId="6FB0642A">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b/>
          <w:bCs/>
          <w:i w:val="0"/>
          <w:iCs w:val="0"/>
          <w:caps w:val="0"/>
          <w:color w:val="auto"/>
          <w:spacing w:val="0"/>
          <w:sz w:val="32"/>
          <w:szCs w:val="32"/>
        </w:rPr>
        <w:t>第二十</w:t>
      </w:r>
      <w:r>
        <w:rPr>
          <w:rFonts w:hint="eastAsia" w:ascii="仿宋_GB2312" w:hAnsi="仿宋_GB2312" w:eastAsia="仿宋_GB2312" w:cs="仿宋_GB2312"/>
          <w:b/>
          <w:bCs/>
          <w:i w:val="0"/>
          <w:iCs w:val="0"/>
          <w:caps w:val="0"/>
          <w:color w:val="auto"/>
          <w:spacing w:val="0"/>
          <w:sz w:val="32"/>
          <w:szCs w:val="32"/>
          <w:lang w:val="en-US" w:eastAsia="zh-CN"/>
        </w:rPr>
        <w:t>八</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项目验收后，项目建设单位按照土地利用现状变更调查相关要求，组织编制项目区土地利用现状变更材料，向县自然资源主管部门申请地类变更。县自然资源局应及</w:t>
      </w:r>
      <w:r>
        <w:rPr>
          <w:rFonts w:hint="eastAsia" w:ascii="仿宋_GB2312" w:hAnsi="仿宋_GB2312" w:eastAsia="仿宋_GB2312" w:cs="仿宋_GB2312"/>
          <w:i w:val="0"/>
          <w:iCs w:val="0"/>
          <w:caps w:val="0"/>
          <w:color w:val="auto"/>
          <w:spacing w:val="6"/>
          <w:sz w:val="32"/>
          <w:szCs w:val="32"/>
        </w:rPr>
        <w:t>时为通过验收的项目办理补充耕地（水田）入库和进行地类变更。</w:t>
      </w:r>
    </w:p>
    <w:p w14:paraId="4A7704B0">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第</w:t>
      </w:r>
      <w:r>
        <w:rPr>
          <w:rStyle w:val="9"/>
          <w:rFonts w:hint="eastAsia" w:ascii="黑体" w:hAnsi="黑体" w:eastAsia="黑体" w:cs="黑体"/>
          <w:i w:val="0"/>
          <w:iCs w:val="0"/>
          <w:caps w:val="0"/>
          <w:color w:val="auto"/>
          <w:spacing w:val="0"/>
          <w:sz w:val="32"/>
          <w:szCs w:val="32"/>
          <w:lang w:val="en-US" w:eastAsia="zh-CN"/>
        </w:rPr>
        <w:t>五</w:t>
      </w:r>
      <w:r>
        <w:rPr>
          <w:rStyle w:val="9"/>
          <w:rFonts w:hint="eastAsia" w:ascii="黑体" w:hAnsi="黑体" w:eastAsia="黑体" w:cs="黑体"/>
          <w:i w:val="0"/>
          <w:iCs w:val="0"/>
          <w:caps w:val="0"/>
          <w:color w:val="auto"/>
          <w:spacing w:val="0"/>
          <w:sz w:val="32"/>
          <w:szCs w:val="32"/>
        </w:rPr>
        <w:t>章  补充耕地利用监管</w:t>
      </w:r>
    </w:p>
    <w:p w14:paraId="7B28AAFC">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第二十</w:t>
      </w:r>
      <w:r>
        <w:rPr>
          <w:rFonts w:hint="eastAsia" w:ascii="仿宋_GB2312" w:hAnsi="仿宋_GB2312" w:eastAsia="仿宋_GB2312" w:cs="仿宋_GB2312"/>
          <w:b/>
          <w:bCs/>
          <w:i w:val="0"/>
          <w:iCs w:val="0"/>
          <w:caps w:val="0"/>
          <w:color w:val="auto"/>
          <w:spacing w:val="0"/>
          <w:sz w:val="32"/>
          <w:szCs w:val="32"/>
          <w:lang w:val="en-US" w:eastAsia="zh-CN"/>
        </w:rPr>
        <w:t>九</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项目验收通过后项目建设单位应当及时办理工程设施等移交手续。</w:t>
      </w:r>
      <w:r>
        <w:rPr>
          <w:rFonts w:hint="eastAsia" w:ascii="仿宋_GB2312" w:hAnsi="仿宋_GB2312" w:eastAsia="仿宋_GB2312" w:cs="仿宋_GB2312"/>
          <w:i w:val="0"/>
          <w:iCs w:val="0"/>
          <w:caps w:val="0"/>
          <w:color w:val="auto"/>
          <w:spacing w:val="0"/>
          <w:sz w:val="32"/>
          <w:szCs w:val="32"/>
          <w:lang w:eastAsia="zh-CN"/>
        </w:rPr>
        <w:t>乡镇</w:t>
      </w:r>
      <w:r>
        <w:rPr>
          <w:rFonts w:hint="eastAsia" w:ascii="仿宋_GB2312" w:hAnsi="仿宋_GB2312" w:eastAsia="仿宋_GB2312" w:cs="仿宋_GB2312"/>
          <w:i w:val="0"/>
          <w:iCs w:val="0"/>
          <w:caps w:val="0"/>
          <w:color w:val="auto"/>
          <w:spacing w:val="0"/>
          <w:sz w:val="32"/>
          <w:szCs w:val="32"/>
        </w:rPr>
        <w:t>政府应采取经济补偿、产业扶持等激励措施，引导农村集体经济组织或相关权利人持续耕种，能够采取家庭承包的依法承包到户。</w:t>
      </w:r>
    </w:p>
    <w:p w14:paraId="743D5597">
      <w:pPr>
        <w:widowControl w:val="0"/>
        <w:wordWrap/>
        <w:adjustRightInd/>
        <w:snapToGrid/>
        <w:spacing w:before="0" w:after="0" w:line="640" w:lineRule="exact"/>
        <w:ind w:left="0" w:leftChars="0" w:right="0" w:firstLine="321" w:firstLineChars="1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val="en-US" w:eastAsia="zh-CN"/>
        </w:rPr>
        <w:t>三十</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县自然资源和农业农村主管部门要充分利用遥感监测、实地核查等方式对新增耕地的种植利用情况进行检查，县自然资源主管部门负责补充耕地非农建设管控监督，县农业农村主管部门负责补充耕地种植用途管控监督。</w:t>
      </w:r>
    </w:p>
    <w:p w14:paraId="61380611">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val="en-US" w:eastAsia="zh-CN"/>
        </w:rPr>
        <w:t>三十一</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县农业农村局按照相关要求组织实施补充耕地质量再评价与耕地质量等级数据库汇总更新。</w:t>
      </w:r>
    </w:p>
    <w:p w14:paraId="2763B824">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第</w:t>
      </w:r>
      <w:r>
        <w:rPr>
          <w:rStyle w:val="9"/>
          <w:rFonts w:hint="eastAsia" w:ascii="黑体" w:hAnsi="黑体" w:eastAsia="黑体" w:cs="黑体"/>
          <w:i w:val="0"/>
          <w:iCs w:val="0"/>
          <w:caps w:val="0"/>
          <w:color w:val="auto"/>
          <w:spacing w:val="0"/>
          <w:sz w:val="32"/>
          <w:szCs w:val="32"/>
          <w:lang w:val="en-US" w:eastAsia="zh-CN"/>
        </w:rPr>
        <w:t>六</w:t>
      </w:r>
      <w:r>
        <w:rPr>
          <w:rStyle w:val="9"/>
          <w:rFonts w:hint="eastAsia" w:ascii="黑体" w:hAnsi="黑体" w:eastAsia="黑体" w:cs="黑体"/>
          <w:i w:val="0"/>
          <w:iCs w:val="0"/>
          <w:caps w:val="0"/>
          <w:color w:val="auto"/>
          <w:spacing w:val="0"/>
          <w:sz w:val="32"/>
          <w:szCs w:val="32"/>
        </w:rPr>
        <w:t>章  项目档案管理</w:t>
      </w:r>
    </w:p>
    <w:p w14:paraId="719D9038">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val="en-US" w:eastAsia="zh-CN"/>
        </w:rPr>
        <w:t>三十二</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 xml:space="preserve"> 县自然资源局按照县政府的工作计划安排，对补充耕地项目进行全程监管，负责指导项目建设单位按规定做好项目档案资料管理，及时将项目立项、实施、验收、后续管护利用等有关资料进行立卷归档，妥善保管。</w:t>
      </w:r>
    </w:p>
    <w:p w14:paraId="22021689">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lang w:val="en-US" w:eastAsia="zh-CN"/>
        </w:rPr>
      </w:pPr>
      <w:r>
        <w:rPr>
          <w:rStyle w:val="9"/>
          <w:rFonts w:hint="eastAsia" w:ascii="黑体" w:hAnsi="黑体" w:eastAsia="黑体" w:cs="黑体"/>
          <w:i w:val="0"/>
          <w:iCs w:val="0"/>
          <w:caps w:val="0"/>
          <w:color w:val="auto"/>
          <w:spacing w:val="0"/>
          <w:sz w:val="32"/>
          <w:szCs w:val="32"/>
        </w:rPr>
        <w:t>第</w:t>
      </w:r>
      <w:r>
        <w:rPr>
          <w:rStyle w:val="9"/>
          <w:rFonts w:hint="eastAsia" w:ascii="黑体" w:hAnsi="黑体" w:eastAsia="黑体" w:cs="黑体"/>
          <w:i w:val="0"/>
          <w:iCs w:val="0"/>
          <w:caps w:val="0"/>
          <w:color w:val="auto"/>
          <w:spacing w:val="0"/>
          <w:sz w:val="32"/>
          <w:szCs w:val="32"/>
          <w:lang w:val="en-US" w:eastAsia="zh-CN"/>
        </w:rPr>
        <w:t>七</w:t>
      </w:r>
      <w:r>
        <w:rPr>
          <w:rStyle w:val="9"/>
          <w:rFonts w:hint="eastAsia" w:ascii="黑体" w:hAnsi="黑体" w:eastAsia="黑体" w:cs="黑体"/>
          <w:i w:val="0"/>
          <w:iCs w:val="0"/>
          <w:caps w:val="0"/>
          <w:color w:val="auto"/>
          <w:spacing w:val="0"/>
          <w:sz w:val="32"/>
          <w:szCs w:val="32"/>
        </w:rPr>
        <w:t>章  监督管理</w:t>
      </w:r>
    </w:p>
    <w:p w14:paraId="5B6A6DDF">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321" w:firstLineChars="1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val="en-US" w:eastAsia="zh-CN"/>
        </w:rPr>
        <w:t>三十三</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 xml:space="preserve"> 对在项目立项、实施、验收、后期利用监管等工作中，存在弄虚作假、徇私舞弊、玩忽职守、滥用职权、行贿受贿的相关单位和人员，依法依规追究责任。</w:t>
      </w:r>
    </w:p>
    <w:p w14:paraId="1B751BD3">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jc w:val="center"/>
        <w:textAlignment w:val="auto"/>
        <w:outlineLvl w:val="9"/>
        <w:rPr>
          <w:rStyle w:val="9"/>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rPr>
        <w:t>第</w:t>
      </w:r>
      <w:r>
        <w:rPr>
          <w:rStyle w:val="9"/>
          <w:rFonts w:hint="eastAsia" w:ascii="黑体" w:hAnsi="黑体" w:eastAsia="黑体" w:cs="黑体"/>
          <w:i w:val="0"/>
          <w:iCs w:val="0"/>
          <w:caps w:val="0"/>
          <w:color w:val="auto"/>
          <w:spacing w:val="0"/>
          <w:sz w:val="32"/>
          <w:szCs w:val="32"/>
          <w:lang w:val="en-US" w:eastAsia="zh-CN"/>
        </w:rPr>
        <w:t>八</w:t>
      </w:r>
      <w:r>
        <w:rPr>
          <w:rStyle w:val="9"/>
          <w:rFonts w:hint="eastAsia" w:ascii="黑体" w:hAnsi="黑体" w:eastAsia="黑体" w:cs="黑体"/>
          <w:i w:val="0"/>
          <w:iCs w:val="0"/>
          <w:caps w:val="0"/>
          <w:color w:val="auto"/>
          <w:spacing w:val="0"/>
          <w:sz w:val="32"/>
          <w:szCs w:val="32"/>
        </w:rPr>
        <w:t>章</w:t>
      </w:r>
      <w:r>
        <w:rPr>
          <w:rStyle w:val="9"/>
          <w:rFonts w:hint="eastAsia" w:ascii="黑体" w:hAnsi="黑体" w:eastAsia="黑体" w:cs="黑体"/>
          <w:i w:val="0"/>
          <w:iCs w:val="0"/>
          <w:caps w:val="0"/>
          <w:color w:val="auto"/>
          <w:spacing w:val="0"/>
          <w:sz w:val="32"/>
          <w:szCs w:val="32"/>
          <w:lang w:val="en-US" w:eastAsia="zh-CN"/>
        </w:rPr>
        <w:t xml:space="preserve"> </w:t>
      </w:r>
      <w:r>
        <w:rPr>
          <w:rStyle w:val="9"/>
          <w:rFonts w:hint="eastAsia" w:ascii="黑体" w:hAnsi="黑体" w:eastAsia="黑体" w:cs="黑体"/>
          <w:i w:val="0"/>
          <w:iCs w:val="0"/>
          <w:caps w:val="0"/>
          <w:color w:val="auto"/>
          <w:spacing w:val="0"/>
          <w:sz w:val="32"/>
          <w:szCs w:val="32"/>
        </w:rPr>
        <w:t xml:space="preserve"> 附 </w:t>
      </w:r>
      <w:r>
        <w:rPr>
          <w:rStyle w:val="9"/>
          <w:rFonts w:hint="eastAsia" w:ascii="黑体" w:hAnsi="黑体" w:eastAsia="黑体" w:cs="黑体"/>
          <w:i w:val="0"/>
          <w:iCs w:val="0"/>
          <w:caps w:val="0"/>
          <w:color w:val="auto"/>
          <w:spacing w:val="0"/>
          <w:sz w:val="32"/>
          <w:szCs w:val="32"/>
          <w:lang w:val="en-US" w:eastAsia="zh-CN"/>
        </w:rPr>
        <w:t xml:space="preserve"> </w:t>
      </w:r>
      <w:r>
        <w:rPr>
          <w:rStyle w:val="9"/>
          <w:rFonts w:hint="eastAsia" w:ascii="黑体" w:hAnsi="黑体" w:eastAsia="黑体" w:cs="黑体"/>
          <w:i w:val="0"/>
          <w:iCs w:val="0"/>
          <w:caps w:val="0"/>
          <w:color w:val="auto"/>
          <w:spacing w:val="0"/>
          <w:sz w:val="32"/>
          <w:szCs w:val="32"/>
        </w:rPr>
        <w:t>则</w:t>
      </w:r>
    </w:p>
    <w:p w14:paraId="0391A43B">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val="en-US" w:eastAsia="zh-CN"/>
        </w:rPr>
        <w:t>三十四</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 xml:space="preserve"> 本办法未尽事宜，按照相关法律、法规、规章及政策文件执行。本办法施行后，国家法律、法规和上级有关政策发生变化的，从其规定。</w:t>
      </w:r>
    </w:p>
    <w:p w14:paraId="779E1B3B">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val="en-US" w:eastAsia="zh-CN"/>
        </w:rPr>
        <w:t>三十五</w:t>
      </w:r>
      <w:r>
        <w:rPr>
          <w:rFonts w:hint="eastAsia" w:ascii="仿宋_GB2312" w:hAnsi="仿宋_GB2312" w:eastAsia="仿宋_GB2312" w:cs="仿宋_GB2312"/>
          <w:b/>
          <w:bCs/>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 xml:space="preserve"> </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本办法解释工作由县政府办公室负责，县自然资源局具体承担。</w:t>
      </w:r>
    </w:p>
    <w:p w14:paraId="7DE39ED2">
      <w:pPr>
        <w:pStyle w:val="6"/>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40" w:lineRule="exact"/>
        <w:ind w:left="0" w:leftChars="0" w:right="0" w:firstLine="420"/>
        <w:jc w:val="both"/>
        <w:textAlignment w:val="auto"/>
        <w:outlineLvl w:val="9"/>
        <w:rPr>
          <w:rFonts w:ascii="Calibri" w:hAnsi="Calibri" w:eastAsia="宋体" w:cs="Calibri"/>
          <w:kern w:val="2"/>
          <w:sz w:val="21"/>
          <w:szCs w:val="21"/>
          <w:lang w:val="en-US" w:eastAsia="zh-CN" w:bidi="ar-SA"/>
        </w:rPr>
      </w:pPr>
      <w:r>
        <w:rPr>
          <w:rFonts w:hint="eastAsia" w:ascii="仿宋_GB2312" w:hAnsi="仿宋_GB2312" w:eastAsia="仿宋_GB2312" w:cs="仿宋_GB2312"/>
          <w:b/>
          <w:bCs/>
          <w:i w:val="0"/>
          <w:iCs w:val="0"/>
          <w:caps w:val="0"/>
          <w:color w:val="auto"/>
          <w:spacing w:val="0"/>
          <w:sz w:val="32"/>
          <w:szCs w:val="32"/>
          <w:lang w:eastAsia="zh-CN"/>
        </w:rPr>
        <w:t>第三十六条</w:t>
      </w:r>
      <w:r>
        <w:rPr>
          <w:rFonts w:hint="eastAsia" w:ascii="仿宋_GB2312" w:hAnsi="仿宋_GB2312" w:eastAsia="仿宋_GB2312" w:cs="仿宋_GB2312"/>
          <w:i w:val="0"/>
          <w:iCs w:val="0"/>
          <w:caps w:val="0"/>
          <w:color w:val="auto"/>
          <w:spacing w:val="0"/>
          <w:sz w:val="32"/>
          <w:szCs w:val="32"/>
          <w:lang w:val="en-US" w:eastAsia="zh-CN"/>
        </w:rPr>
        <w:t xml:space="preserve">  本办法自公布之日起施行，试行期3年。</w:t>
      </w:r>
      <w:bookmarkStart w:id="0" w:name="_GoBack"/>
      <w:bookmarkEnd w:id="0"/>
      <w:r>
        <w:rPr>
          <w:rFonts w:ascii="Calibri" w:hAnsi="Calibri" w:eastAsia="宋体" w:cs="Calibri"/>
          <w:kern w:val="2"/>
          <w:sz w:val="32"/>
          <w:szCs w:val="21"/>
          <w:lang w:val="en-US" w:eastAsia="zh-CN" w:bidi="ar-SA"/>
        </w:rPr>
        <w:pict>
          <v:rect id="矩形 2" o:spid="_x0000_s1027" o:spt="1" style="position:absolute;left:0pt;margin-left:349.5pt;margin-top:638.5pt;height:57.75pt;width:105.75pt;z-index:251659264;mso-width-relative:page;mso-height-relative:page;" fillcolor="#FFFFFF" filled="t" o:preferrelative="t" stroked="t" coordsize="21600,21600">
            <v:path/>
            <v:fill on="t" focussize="0,0"/>
            <v:stroke weight="1.25pt" color="#FFFFFF" color2="#FFFFFF" miterlimit="2"/>
            <v:imagedata gain="65536f" blacklevel="0f" gamma="0" o:title=""/>
            <o:lock v:ext="edit" position="f" selection="f" grouping="f" rotation="f" cropping="f" text="f" aspectratio="f"/>
          </v:rect>
        </w:pict>
      </w:r>
    </w:p>
    <w:sectPr>
      <w:headerReference r:id="rId3" w:type="default"/>
      <w:footerReference r:id="rId4" w:type="default"/>
      <w:pgSz w:w="11906" w:h="16838"/>
      <w:pgMar w:top="2041" w:right="1588" w:bottom="1701" w:left="1758" w:header="851" w:footer="1304"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falt">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5C42">
    <w:pPr>
      <w:pStyle w:val="4"/>
      <w:framePr w:wrap="around" w:vAnchor="text" w:hAnchor="margin" w:xAlign="outside" w:y="1"/>
      <w:rPr>
        <w:rStyle w:val="10"/>
        <w:rFonts w:ascii="宋体" w:cs="Times New Roman"/>
        <w:sz w:val="28"/>
        <w:szCs w:val="28"/>
      </w:rPr>
    </w:pPr>
    <w:r>
      <w:rPr>
        <w:rFonts w:ascii="宋体" w:hAnsi="宋体" w:cs="宋体"/>
        <w:sz w:val="28"/>
        <w:szCs w:val="28"/>
      </w:rPr>
      <w:fldChar w:fldCharType="begin"/>
    </w:r>
    <w:r>
      <w:rPr>
        <w:rStyle w:val="10"/>
        <w:rFonts w:ascii="宋体" w:hAnsi="宋体" w:cs="宋体"/>
        <w:sz w:val="28"/>
        <w:szCs w:val="28"/>
      </w:rPr>
      <w:instrText xml:space="preserve">PAGE  </w:instrText>
    </w:r>
    <w:r>
      <w:rPr>
        <w:rFonts w:ascii="宋体" w:hAnsi="宋体" w:cs="宋体"/>
        <w:sz w:val="28"/>
        <w:szCs w:val="28"/>
      </w:rPr>
      <w:fldChar w:fldCharType="separate"/>
    </w:r>
    <w:r>
      <w:rPr>
        <w:rStyle w:val="10"/>
        <w:rFonts w:ascii="宋体" w:hAnsi="宋体" w:cs="宋体"/>
        <w:sz w:val="28"/>
        <w:szCs w:val="28"/>
      </w:rPr>
      <w:t>- 1 -</w:t>
    </w:r>
    <w:r>
      <w:rPr>
        <w:rFonts w:ascii="宋体" w:hAnsi="宋体" w:cs="宋体"/>
        <w:sz w:val="28"/>
        <w:szCs w:val="28"/>
      </w:rPr>
      <w:fldChar w:fldCharType="end"/>
    </w:r>
  </w:p>
  <w:p w14:paraId="65B5BFD5">
    <w:pPr>
      <w:pStyle w:val="4"/>
      <w:ind w:right="360" w:firstLine="360"/>
      <w:rPr>
        <w:rFonts w:ascii="宋体" w:cs="Times New Roman"/>
        <w:sz w:val="28"/>
        <w:szCs w:val="28"/>
      </w:rPr>
    </w:pPr>
    <w:r>
      <w:rPr>
        <w:rFonts w:ascii="Calibri" w:hAnsi="Calibri" w:eastAsia="宋体" w:cs="Calibri"/>
        <w:kern w:val="2"/>
        <w:sz w:val="18"/>
        <w:szCs w:val="18"/>
        <w:lang w:val="en-US" w:eastAsia="zh-CN" w:bidi="ar-SA"/>
      </w:rPr>
      <w:pict>
        <v:shape id="_x0000_s2049"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6B2559F">
                <w:pPr>
                  <w:rPr>
                    <w:rFonts w:cs="Times New Roma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9C32">
    <w:pPr>
      <w:pStyle w:val="5"/>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35435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99" w:semiHidden="0" w:name="Emphasis" w:locked="1"/>
    <w:lsdException w:uiPriority="0" w:name="Document Map" w:locked="1"/>
    <w:lsdException w:uiPriority="0" w:name="Plain Text" w:locked="1"/>
    <w:lsdException w:uiPriority="0" w:name="E-mail Signature" w:locked="1"/>
    <w:lsdException w:unhideWhenUsed="0" w:uiPriority="99"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5"/>
    <w:qFormat/>
    <w:locked/>
    <w:uiPriority w:val="99"/>
    <w:pPr>
      <w:jc w:val="left"/>
      <w:outlineLvl w:val="0"/>
    </w:pPr>
    <w:rPr>
      <w:rFonts w:ascii="宋体" w:hAnsi="宋体" w:cs="宋体"/>
      <w:kern w:val="44"/>
      <w:sz w:val="48"/>
      <w:szCs w:val="48"/>
    </w:rPr>
  </w:style>
  <w:style w:type="character" w:default="1" w:styleId="8">
    <w:name w:val="Default Paragraph Font"/>
    <w:semiHidden/>
    <w:uiPriority w:val="99"/>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uiPriority w:val="99"/>
    <w:pPr>
      <w:ind w:left="100" w:leftChars="2500"/>
    </w:p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locked/>
    <w:uiPriority w:val="99"/>
    <w:pPr>
      <w:jc w:val="left"/>
    </w:pPr>
    <w:rPr>
      <w:kern w:val="0"/>
      <w:sz w:val="24"/>
      <w:szCs w:val="24"/>
    </w:rPr>
  </w:style>
  <w:style w:type="character" w:styleId="9">
    <w:name w:val="Strong"/>
    <w:basedOn w:val="8"/>
    <w:qFormat/>
    <w:locked/>
    <w:uiPriority w:val="22"/>
    <w:rPr>
      <w:b/>
    </w:rPr>
  </w:style>
  <w:style w:type="character" w:styleId="10">
    <w:name w:val="page number"/>
    <w:basedOn w:val="8"/>
    <w:uiPriority w:val="99"/>
  </w:style>
  <w:style w:type="character" w:styleId="11">
    <w:name w:val="Emphasis"/>
    <w:basedOn w:val="8"/>
    <w:qFormat/>
    <w:locked/>
    <w:uiPriority w:val="99"/>
  </w:style>
  <w:style w:type="character" w:styleId="12">
    <w:name w:val="Hyperlink"/>
    <w:basedOn w:val="8"/>
    <w:semiHidden/>
    <w:unhideWhenUsed/>
    <w:locked/>
    <w:uiPriority w:val="0"/>
    <w:rPr>
      <w:color w:val="0000FF"/>
      <w:u w:val="single"/>
    </w:rPr>
  </w:style>
  <w:style w:type="paragraph" w:customStyle="1" w:styleId="13">
    <w:name w:val="Other|1"/>
    <w:basedOn w:val="1"/>
    <w:uiPriority w:val="99"/>
    <w:pPr>
      <w:jc w:val="center"/>
    </w:pPr>
    <w:rPr>
      <w:rFonts w:ascii="MingLiUfalt" w:hAnsi="MingLiUfalt" w:eastAsia="MingLiUfalt" w:cs="MingLiUfalt"/>
      <w:sz w:val="18"/>
      <w:szCs w:val="18"/>
      <w:lang w:val="zh-TW" w:eastAsia="zh-TW"/>
    </w:rPr>
  </w:style>
  <w:style w:type="paragraph" w:customStyle="1" w:styleId="14">
    <w:name w:val="Body text|1"/>
    <w:basedOn w:val="1"/>
    <w:uiPriority w:val="99"/>
    <w:pPr>
      <w:spacing w:line="461" w:lineRule="auto"/>
      <w:ind w:firstLine="400"/>
    </w:pPr>
    <w:rPr>
      <w:rFonts w:ascii="MingLiUfalt" w:hAnsi="MingLiUfalt" w:eastAsia="MingLiUfalt" w:cs="MingLiUfalt"/>
      <w:sz w:val="18"/>
      <w:szCs w:val="18"/>
      <w:lang w:val="zh-TW" w:eastAsia="zh-TW"/>
    </w:rPr>
  </w:style>
  <w:style w:type="character" w:customStyle="1" w:styleId="15">
    <w:name w:val="Heading 1 Char"/>
    <w:basedOn w:val="8"/>
    <w:link w:val="2"/>
    <w:uiPriority w:val="99"/>
    <w:rPr>
      <w:rFonts w:ascii="Calibri" w:hAnsi="Calibri" w:cs="Calibri"/>
      <w:b/>
      <w:bCs/>
      <w:kern w:val="44"/>
      <w:sz w:val="44"/>
      <w:szCs w:val="44"/>
    </w:rPr>
  </w:style>
  <w:style w:type="character" w:customStyle="1" w:styleId="16">
    <w:name w:val="Date Char Char"/>
    <w:basedOn w:val="8"/>
    <w:link w:val="3"/>
    <w:uiPriority w:val="99"/>
    <w:rPr>
      <w:rFonts w:ascii="Calibri" w:hAnsi="Calibri" w:cs="Calibri"/>
      <w:sz w:val="21"/>
      <w:szCs w:val="21"/>
    </w:rPr>
  </w:style>
  <w:style w:type="character" w:customStyle="1" w:styleId="17">
    <w:name w:val="Footer Char"/>
    <w:basedOn w:val="8"/>
    <w:link w:val="4"/>
    <w:uiPriority w:val="99"/>
    <w:rPr>
      <w:rFonts w:ascii="Calibri" w:hAnsi="Calibri" w:cs="Calibri"/>
      <w:sz w:val="18"/>
      <w:szCs w:val="18"/>
    </w:rPr>
  </w:style>
  <w:style w:type="character" w:customStyle="1" w:styleId="18">
    <w:name w:val="Header Char"/>
    <w:basedOn w:val="8"/>
    <w:link w:val="5"/>
    <w:uiPriority w:val="99"/>
    <w:rPr>
      <w:rFonts w:ascii="Calibri" w:hAnsi="Calibri" w:cs="Calibri"/>
      <w:sz w:val="18"/>
      <w:szCs w:val="18"/>
    </w:rPr>
  </w:style>
  <w:style w:type="character" w:customStyle="1" w:styleId="19">
    <w:name w:val="sound1"/>
    <w:basedOn w:val="8"/>
    <w:uiPriority w:val="99"/>
    <w:rPr>
      <w:color w:val="auto"/>
      <w:spacing w:val="1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10</Pages>
  <Words>3766</Words>
  <Characters>3791</Characters>
  <Lines>0</Lines>
  <Paragraphs>0</Paragraphs>
  <TotalTime>1</TotalTime>
  <ScaleCrop>false</ScaleCrop>
  <LinksUpToDate>false</LinksUpToDate>
  <CharactersWithSpaces>3928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2018-11-09T01:09:00Z</dcterms:created>
  <dc:creator>Administrator</dc:creator>
  <cp:lastModifiedBy>188----0137</cp:lastModifiedBy>
  <cp:lastPrinted>2025-08-25T03:08:00Z</cp:lastPrinted>
  <dcterms:modified xsi:type="dcterms:W3CDTF">2025-10-27T07:56:47Z</dcterms:modified>
  <dc:title>召政办〔2018〕30号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eyJoZGlkIjoiOGVhMjVlNzc0MWNhMTk3YWQwNGY3OGZjNzMxOGZkYzEiLCJ1c2VySWQiOiIxNTA1MTY0ODMyIn0=</vt:lpwstr>
  </property>
  <property fmtid="{D5CDD505-2E9C-101B-9397-08002B2CF9AE}" pid="4" name="ICV">
    <vt:lpwstr>D09CE152358143D7A5CCBFEB0AD2B4F3_12</vt:lpwstr>
  </property>
</Properties>
</file>