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0C9D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5A6B9F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3334151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28841E1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09CD2F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</w:p>
    <w:p w14:paraId="4AE822D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</w:p>
    <w:p w14:paraId="08237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召民〔20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464F9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A4B3AE6">
      <w:pPr>
        <w:spacing w:before="14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  <w:lang w:val="en-US" w:eastAsia="zh-CN"/>
        </w:rPr>
        <w:t>南召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</w:rPr>
        <w:t>县民政局关于印发</w:t>
      </w:r>
    </w:p>
    <w:p w14:paraId="3FB23CCD">
      <w:pPr>
        <w:spacing w:before="14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  <w:lang w:val="en-US" w:eastAsia="zh-CN"/>
        </w:rPr>
        <w:t>南召县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</w:rPr>
        <w:t>公益性公墓管理制度》</w:t>
      </w:r>
    </w:p>
    <w:p w14:paraId="40388533">
      <w:pPr>
        <w:spacing w:before="116" w:line="221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</w:rPr>
        <w:t>的通知</w:t>
      </w:r>
    </w:p>
    <w:p w14:paraId="5E519CA8">
      <w:pPr>
        <w:spacing w:line="241" w:lineRule="auto"/>
        <w:rPr>
          <w:rFonts w:ascii="Arial"/>
          <w:spacing w:val="0"/>
          <w:kern w:val="21"/>
          <w:sz w:val="21"/>
        </w:rPr>
      </w:pPr>
    </w:p>
    <w:p w14:paraId="216DFBF0">
      <w:pPr>
        <w:spacing w:line="241" w:lineRule="auto"/>
        <w:rPr>
          <w:rFonts w:ascii="Arial"/>
          <w:spacing w:val="0"/>
          <w:kern w:val="21"/>
          <w:sz w:val="21"/>
        </w:rPr>
      </w:pPr>
    </w:p>
    <w:p w14:paraId="1A6EFB01">
      <w:pPr>
        <w:spacing w:line="241" w:lineRule="auto"/>
        <w:rPr>
          <w:rFonts w:ascii="Arial"/>
          <w:sz w:val="21"/>
        </w:rPr>
      </w:pPr>
    </w:p>
    <w:p w14:paraId="330948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0"/>
        <w:textAlignment w:val="baseline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各乡镇公共服务办公室，县殡葬服务中心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：</w:t>
      </w:r>
    </w:p>
    <w:p w14:paraId="394BBA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0" w:right="51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为进一步加强公益性公墓管理，促进殡葬事业健康有序发展，切实保障群众切身利益，现将《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南召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县公益性公墓管理制度》印发给你们，请认真遵照执行。</w:t>
      </w:r>
    </w:p>
    <w:p w14:paraId="473659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0" w:right="51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</w:p>
    <w:p w14:paraId="18D788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附件：《南召县公益性公墓安全防火制度》</w:t>
      </w:r>
    </w:p>
    <w:p w14:paraId="077B3A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100"/>
        <w:textAlignment w:val="baseline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日</w:t>
      </w:r>
    </w:p>
    <w:p w14:paraId="040E73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sectPr>
          <w:footerReference r:id="rId5" w:type="default"/>
          <w:pgSz w:w="11910" w:h="16840"/>
          <w:pgMar w:top="1440" w:right="1803" w:bottom="1440" w:left="1803" w:header="0" w:footer="1386" w:gutter="0"/>
          <w:cols w:space="720" w:num="1"/>
        </w:sectPr>
      </w:pPr>
    </w:p>
    <w:p w14:paraId="3E904F65">
      <w:pPr>
        <w:keepNext w:val="0"/>
        <w:pageBreakBefore w:val="0"/>
        <w:widowControl/>
        <w:wordWrap/>
        <w:topLinePunct w:val="0"/>
        <w:bidi w:val="0"/>
        <w:spacing w:line="326" w:lineRule="auto"/>
        <w:textAlignment w:val="baseline"/>
        <w:rPr>
          <w:rFonts w:ascii="Arial"/>
          <w:sz w:val="21"/>
        </w:rPr>
      </w:pPr>
    </w:p>
    <w:p w14:paraId="4CDC33A9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kern w:val="21"/>
          <w:sz w:val="44"/>
          <w:szCs w:val="44"/>
          <w:lang w:val="en-US" w:eastAsia="zh-CN"/>
        </w:rPr>
        <w:t>南召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kern w:val="21"/>
          <w:sz w:val="44"/>
          <w:szCs w:val="44"/>
        </w:rPr>
        <w:t>县公益性公墓管理制度</w:t>
      </w:r>
    </w:p>
    <w:p w14:paraId="47035493">
      <w:pPr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both"/>
        <w:textAlignment w:val="baseline"/>
        <w:rPr>
          <w:rFonts w:ascii="Arial" w:eastAsia="仿宋_GB2312"/>
          <w:color w:val="auto"/>
          <w:spacing w:val="0"/>
          <w:kern w:val="21"/>
          <w:sz w:val="32"/>
        </w:rPr>
      </w:pPr>
    </w:p>
    <w:p w14:paraId="78B3BB9D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为规范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公益性公墓的服务和管理，根据民政部《公墓管理暂行办法》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河南省农村公益性公墓管理办法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结合我县实际，制定本制度。</w:t>
      </w:r>
    </w:p>
    <w:p w14:paraId="19F9CD80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21"/>
          <w:sz w:val="32"/>
          <w:lang w:val="en-US" w:eastAsia="zh-CN"/>
        </w:rPr>
        <w:t>本制度所指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21"/>
          <w:sz w:val="32"/>
        </w:rPr>
        <w:t>公益性公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墓是指不以营利为目的，为本县群众提供骨灰安葬服务的公共墓地。</w:t>
      </w:r>
    </w:p>
    <w:p w14:paraId="530A8436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 xml:space="preserve"> 公益性公墓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禁止对外开展经营活动，不得接纳遗体土葬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国家另有规定的除外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禁止在墓区内从事封建迷信活动。</w:t>
      </w:r>
    </w:p>
    <w:p w14:paraId="1BB98257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5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公益性公墓建设要符合本地土地利用总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规划和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殡葬改革发展规划等要求，不得在法律、法规规定的禁止区域内建设。</w:t>
      </w:r>
    </w:p>
    <w:p w14:paraId="60FE2ED7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公益性公墓墓穴占地面积单穴不超过0.5平方米，双穴不超过0.8平方米；墓区绿化覆盖率不少于50%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墓碑采用卧碑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禁止单独设置供桌、祭台等设施。</w:t>
      </w:r>
    </w:p>
    <w:p w14:paraId="77ABE4D0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第六条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 xml:space="preserve"> 南召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县公益性公墓服务对象：</w:t>
      </w:r>
    </w:p>
    <w:p w14:paraId="1F3DEBDF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户籍为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南召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县的城乡居民；</w:t>
      </w:r>
    </w:p>
    <w:p w14:paraId="6783B723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户籍不在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南召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县的，但在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南召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县长期居住生活的城乡居民；</w:t>
      </w:r>
    </w:p>
    <w:p w14:paraId="730D1144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因辖区范围内其他重大建设项目需要搬迁的坟墓。</w:t>
      </w:r>
    </w:p>
    <w:p w14:paraId="1ACF9354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第七条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墓穴的使用由逝者直系亲属或各村委会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社区居委会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写出书面申请，同时需上报如下材料：</w:t>
      </w:r>
    </w:p>
    <w:p w14:paraId="1108BAEC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亡故人员的身份证复印件；</w:t>
      </w:r>
    </w:p>
    <w:p w14:paraId="27E5968A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亡故人员的户口本或户籍证明；</w:t>
      </w:r>
    </w:p>
    <w:p w14:paraId="1708B4EA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亡故人员的火化证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。</w:t>
      </w:r>
    </w:p>
    <w:p w14:paraId="13CC45D2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公益性公墓的使用实行实名登记制度，由遗属提供上述材料，并签署安葬协议后安排入葬。安葬协议、入葬人员档案材料要实行统一管理，建立档案，妥善保存。</w:t>
      </w:r>
    </w:p>
    <w:p w14:paraId="7F703311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公墓墓穴所占土地所有权依法归国家所有，丧属不得自行转让或买卖，不得擅自安葬霸占墓位，不得自行改建、扩建墓穴。公墓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eastAsia="zh-CN"/>
        </w:rPr>
        <w:t>办公室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根据逝者死亡时间和公墓的总体规划，安排逝者依序下葬，不得跳号或选号使用。</w:t>
      </w:r>
    </w:p>
    <w:p w14:paraId="1E7AF00B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 xml:space="preserve"> 公墓内祭祀必须在指定祭祀区域进行，严禁在墓碑前焚烧。提倡文明祭祀、鲜花祭祀，坚决杜绝在公墓内燃放烟花、爆竹，确保墓区安全。</w:t>
      </w:r>
    </w:p>
    <w:p w14:paraId="70E12483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 xml:space="preserve"> 进入公墓人员必须接受公墓管理人员的管理，严禁破坏墓区绿化树木、墓碑、围栏等设施，共同维护干净、整洁的园区环境，如有损坏，照价赔偿；如出现无理取闹，寻衅滋事者交由公安机关依法处理。</w:t>
      </w:r>
    </w:p>
    <w:p w14:paraId="4207FC58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 xml:space="preserve"> 公墓内墓碑刻字由公墓管理办公室统一规范、简化内容、统一办理，字体统一。</w:t>
      </w:r>
    </w:p>
    <w:p w14:paraId="791D4FBF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 xml:space="preserve"> 公益性公墓要明确专人负责管理与服务工作。乡镇公益性公墓至少要配备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1-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2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名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>县级公益性公墓配备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>名左右专职管理员，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负责公益性公墓的日常维护、档案管理、绿化美化、环境卫生、安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全防火等工作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具体可通过政府购买服务或者设置公益性岗位的方式解决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。</w:t>
      </w:r>
    </w:p>
    <w:p w14:paraId="19283A1E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 xml:space="preserve"> 公益性公墓墓穴使用年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限以20年为一个周期，逾期使用应当办理延期手续，经公告后半年未办理延期手续的，按无主墓处理。</w:t>
      </w:r>
    </w:p>
    <w:p w14:paraId="786A04D8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县民政局负责本辖区公益性公墓管理工作。乡镇政府负责辖区内公益性公墓的建设、管理和服务等具体工作，也可委托村（居）民委员会实施管理和服务工作。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对违反公益性公墓建设管理规定的，按照国务院《殡葬管理条例》有关规定予以处罚，情节严重，造成恶劣影响的，依法追究其责任。</w:t>
      </w:r>
    </w:p>
    <w:p w14:paraId="642A3E0C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ascii="黑体" w:hAnsi="黑体" w:eastAsia="仿宋_GB2312" w:cs="黑体"/>
          <w:b/>
          <w:bCs/>
          <w:snapToGrid/>
          <w:color w:val="auto"/>
          <w:spacing w:val="0"/>
          <w:kern w:val="21"/>
          <w:sz w:val="32"/>
          <w:szCs w:val="28"/>
        </w:rPr>
      </w:pPr>
      <w:r>
        <w:rPr>
          <w:rFonts w:eastAsia="仿宋_GB2312"/>
          <w:b/>
          <w:bCs/>
          <w:snapToGrid/>
          <w:color w:val="auto"/>
          <w:spacing w:val="0"/>
          <w:kern w:val="21"/>
          <w:sz w:val="32"/>
        </w:rPr>
        <w:t>第十</w:t>
      </w:r>
      <w:r>
        <w:rPr>
          <w:rFonts w:hint="eastAsia" w:eastAsia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六</w:t>
      </w:r>
      <w:r>
        <w:rPr>
          <w:rFonts w:eastAsia="仿宋_GB2312"/>
          <w:b/>
          <w:bCs/>
          <w:snapToGrid/>
          <w:color w:val="auto"/>
          <w:spacing w:val="0"/>
          <w:kern w:val="21"/>
          <w:sz w:val="32"/>
        </w:rPr>
        <w:t>条</w:t>
      </w:r>
      <w:r>
        <w:rPr>
          <w:rFonts w:eastAsia="仿宋_GB2312"/>
          <w:snapToGrid/>
          <w:color w:val="auto"/>
          <w:spacing w:val="0"/>
          <w:kern w:val="21"/>
          <w:sz w:val="32"/>
        </w:rPr>
        <w:t xml:space="preserve"> </w:t>
      </w:r>
      <w:r>
        <w:rPr>
          <w:rFonts w:hint="eastAsia" w:eastAsia="仿宋_GB2312"/>
          <w:snapToGrid/>
          <w:color w:val="auto"/>
          <w:spacing w:val="0"/>
          <w:kern w:val="21"/>
          <w:sz w:val="32"/>
          <w:lang w:eastAsia="zh-CN"/>
        </w:rPr>
        <w:t>其他</w:t>
      </w:r>
      <w:r>
        <w:rPr>
          <w:rFonts w:eastAsia="仿宋_GB2312"/>
          <w:snapToGrid/>
          <w:color w:val="auto"/>
          <w:spacing w:val="0"/>
          <w:kern w:val="21"/>
          <w:sz w:val="32"/>
        </w:rPr>
        <w:t>未尽事宜，由县民政局依照有关规定处理。</w:t>
      </w:r>
    </w:p>
    <w:p w14:paraId="1883FC16">
      <w:pPr>
        <w:rPr>
          <w:rFonts w:ascii="黑体" w:hAnsi="黑体" w:eastAsia="仿宋_GB2312" w:cs="黑体"/>
          <w:b/>
          <w:bCs/>
          <w:snapToGrid/>
          <w:color w:val="auto"/>
          <w:spacing w:val="0"/>
          <w:kern w:val="21"/>
          <w:sz w:val="32"/>
          <w:szCs w:val="28"/>
        </w:rPr>
      </w:pPr>
      <w:r>
        <w:rPr>
          <w:rFonts w:ascii="黑体" w:hAnsi="黑体" w:eastAsia="仿宋_GB2312" w:cs="黑体"/>
          <w:b/>
          <w:bCs/>
          <w:snapToGrid/>
          <w:color w:val="auto"/>
          <w:spacing w:val="0"/>
          <w:kern w:val="21"/>
          <w:sz w:val="32"/>
          <w:szCs w:val="28"/>
        </w:rPr>
        <w:br w:type="page"/>
      </w:r>
    </w:p>
    <w:p w14:paraId="2401EC3D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kern w:val="21"/>
          <w:sz w:val="32"/>
          <w:szCs w:val="28"/>
        </w:rPr>
        <w:t>附件</w:t>
      </w:r>
    </w:p>
    <w:p w14:paraId="071607E9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spacing w:val="0"/>
          <w:kern w:val="21"/>
          <w:sz w:val="44"/>
          <w:szCs w:val="44"/>
          <w:lang w:val="en-US" w:eastAsia="zh-CN"/>
        </w:rPr>
        <w:t>南召</w:t>
      </w: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spacing w:val="0"/>
          <w:kern w:val="21"/>
          <w:sz w:val="44"/>
          <w:szCs w:val="44"/>
        </w:rPr>
        <w:t>县公益性公墓安全防火制度</w:t>
      </w:r>
    </w:p>
    <w:p w14:paraId="4B4D2A74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right="0"/>
        <w:jc w:val="both"/>
        <w:textAlignment w:val="baseline"/>
        <w:rPr>
          <w:rFonts w:ascii="Arial" w:eastAsia="仿宋_GB2312"/>
          <w:snapToGrid/>
          <w:color w:val="auto"/>
          <w:spacing w:val="0"/>
          <w:kern w:val="21"/>
          <w:sz w:val="32"/>
        </w:rPr>
      </w:pPr>
    </w:p>
    <w:p w14:paraId="76621312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一、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墓区应有专人负责日常的卫生和绿化修剪工作，维护墓区秩序、保持墓区宁静，定期清理绿化带内的杂草、枯枝等易燃物，墓穴周围无白色污染、无果皮纸屑、无烟蒂。</w:t>
      </w:r>
    </w:p>
    <w:p w14:paraId="0BF509B6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二、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切实加强安全防范措施，增强安全防火意识，杜绝各类事故发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2"/>
        </w:rPr>
        <w:t>生。</w:t>
      </w:r>
    </w:p>
    <w:p w14:paraId="22912FAB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三、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公墓入口或其他醒目处要设立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  <w:lang w:eastAsia="zh-CN"/>
        </w:rPr>
        <w:t>警示牌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、防火标志、配备防火设施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墓区禁止燃放烟花爆竹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焚烧迷信物品。</w:t>
      </w:r>
    </w:p>
    <w:p w14:paraId="39C2B6BA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四、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清明、春节等重要祭祀时间节点，应加强值班，为群众祭祀活动提供方便，引导群众用鲜花等文明方式祭祀亲人，制止封建迷信和不文明行为的发生。</w:t>
      </w:r>
    </w:p>
    <w:p w14:paraId="5017231C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2"/>
        </w:rPr>
        <w:t>要严格落实安全防火责任制，制定安全防火工作预案，明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确防火责任人，配齐并定时检查消防设施和灭火器材。</w:t>
      </w:r>
    </w:p>
    <w:p w14:paraId="7765A270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六、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严格执行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24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小时值班制度，落实值班人员在岗，保持公墓安全防火工作的信息畅通。</w:t>
      </w:r>
    </w:p>
    <w:p w14:paraId="1C1352A3">
      <w:pPr>
        <w:pStyle w:val="2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七、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加强安全报告，一旦发生火灾，要积极组织扑灭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  <w:lang w:eastAsia="zh-CN"/>
        </w:rPr>
        <w:t>并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拨打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119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,同时查明原因并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上报火灾情况。</w:t>
      </w:r>
    </w:p>
    <w:sectPr>
      <w:headerReference r:id="rId6" w:type="default"/>
      <w:footerReference r:id="rId7" w:type="default"/>
      <w:pgSz w:w="11910" w:h="16840"/>
      <w:pgMar w:top="1440" w:right="1800" w:bottom="1440" w:left="1800" w:header="1737" w:footer="20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9A1E5">
    <w:pPr>
      <w:spacing w:line="225" w:lineRule="auto"/>
      <w:ind w:left="4309"/>
      <w:rPr>
        <w:rFonts w:ascii="宋体" w:hAnsi="宋体" w:eastAsia="宋体" w:cs="宋体"/>
        <w:sz w:val="12"/>
        <w:szCs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F64D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F64D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11E4A">
    <w:pPr>
      <w:spacing w:line="172" w:lineRule="auto"/>
      <w:ind w:left="4469"/>
      <w:rPr>
        <w:rFonts w:ascii="Times New Roman" w:hAnsi="Times New Roman" w:eastAsia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5140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5140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1CAB9">
    <w:pPr>
      <w:spacing w:before="73" w:line="224" w:lineRule="auto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527E1E"/>
    <w:rsid w:val="082500FC"/>
    <w:rsid w:val="08872B64"/>
    <w:rsid w:val="096F5AD2"/>
    <w:rsid w:val="0C1B3CF0"/>
    <w:rsid w:val="0E5139F9"/>
    <w:rsid w:val="0EEC1973"/>
    <w:rsid w:val="13824654"/>
    <w:rsid w:val="14C64A14"/>
    <w:rsid w:val="156C2EC6"/>
    <w:rsid w:val="16173D47"/>
    <w:rsid w:val="18B87C7D"/>
    <w:rsid w:val="1A69031C"/>
    <w:rsid w:val="1CC57360"/>
    <w:rsid w:val="23307C29"/>
    <w:rsid w:val="240A66CC"/>
    <w:rsid w:val="279D7857"/>
    <w:rsid w:val="27EB411E"/>
    <w:rsid w:val="27F12FBB"/>
    <w:rsid w:val="2C0C7C12"/>
    <w:rsid w:val="2C136339"/>
    <w:rsid w:val="2C591A4C"/>
    <w:rsid w:val="333472C1"/>
    <w:rsid w:val="37E1553E"/>
    <w:rsid w:val="399C017A"/>
    <w:rsid w:val="44625310"/>
    <w:rsid w:val="45486BFC"/>
    <w:rsid w:val="45E06E35"/>
    <w:rsid w:val="4A233794"/>
    <w:rsid w:val="4AC7411F"/>
    <w:rsid w:val="4BAD5A0B"/>
    <w:rsid w:val="5C2C0286"/>
    <w:rsid w:val="5CA90CD8"/>
    <w:rsid w:val="5DB70023"/>
    <w:rsid w:val="5ED66BCF"/>
    <w:rsid w:val="6B6C68F1"/>
    <w:rsid w:val="6B91578D"/>
    <w:rsid w:val="6BA50055"/>
    <w:rsid w:val="6C6121CE"/>
    <w:rsid w:val="6E8421A4"/>
    <w:rsid w:val="6F9E7295"/>
    <w:rsid w:val="73005B71"/>
    <w:rsid w:val="7AE2097E"/>
    <w:rsid w:val="7BB37C24"/>
    <w:rsid w:val="7D494CE4"/>
    <w:rsid w:val="7E3257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1698</Words>
  <Characters>1718</Characters>
  <TotalTime>2</TotalTime>
  <ScaleCrop>false</ScaleCrop>
  <LinksUpToDate>false</LinksUpToDate>
  <CharactersWithSpaces>1734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2025-09-08T17:09:00Z</dcterms:created>
  <dc:creator>lenovo</dc:creator>
  <cp:lastModifiedBy>爱笑</cp:lastModifiedBy>
  <cp:lastPrinted>2025-09-11T02:32:33Z</cp:lastPrinted>
  <dcterms:modified xsi:type="dcterms:W3CDTF">2025-09-11T02:34:18Z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2025-09-08T17:09:50Z</vt:filetime>
  </property>
  <property fmtid="{D5CDD505-2E9C-101B-9397-08002B2CF9AE}" pid="4" name="UsrData">
    <vt:lpwstr>68be9d5b85dbfc001fa5de06wl</vt:lpwstr>
  </property>
  <property fmtid="{D5CDD505-2E9C-101B-9397-08002B2CF9AE}" pid="5" name="KSOTemplateDocerSaveRecord">
    <vt:lpwstr>eyJoZGlkIjoiOTQxMzRiY2RmZjBmZjc0Y2EwMGRjOGYwMTViZTYxNjQiLCJ1c2VySWQiOiI0MDc5ODg3MjMifQ==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5B0AF86F575743798F83339C8AC46A5D_13</vt:lpwstr>
  </property>
</Properties>
</file>