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D0D18">
      <w:pPr>
        <w:keepNext w:val="0"/>
        <w:keepLines w:val="0"/>
        <w:widowControl/>
        <w:suppressLineNumbers w:val="0"/>
        <w:jc w:val="both"/>
        <w:textAlignment w:val="center"/>
        <w:rPr>
          <w:rFonts w:hint="default" w:ascii="宋体" w:hAnsi="宋体" w:eastAsia="宋体" w:cs="宋体"/>
          <w:b/>
          <w:bCs/>
          <w:i w:val="0"/>
          <w:iCs w:val="0"/>
          <w:color w:val="000000"/>
          <w:sz w:val="44"/>
          <w:szCs w:val="44"/>
          <w:u w:val="none"/>
          <w:lang w:val="en-US" w:eastAsia="zh-CN"/>
        </w:rPr>
      </w:pPr>
      <w:r>
        <w:rPr>
          <w:rFonts w:hint="eastAsia" w:ascii="仿宋_GB2312" w:hAnsi="仿宋_GB2312" w:eastAsia="仿宋_GB2312" w:cs="仿宋_GB2312"/>
          <w:b/>
          <w:bCs/>
          <w:i w:val="0"/>
          <w:iCs w:val="0"/>
          <w:color w:val="000000"/>
          <w:sz w:val="32"/>
          <w:szCs w:val="32"/>
          <w:u w:val="none"/>
          <w:lang w:val="en-US" w:eastAsia="zh-CN"/>
        </w:rPr>
        <w:t>附件3：</w:t>
      </w:r>
    </w:p>
    <w:p w14:paraId="47DF832A">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color w:val="000000"/>
          <w:sz w:val="44"/>
          <w:szCs w:val="44"/>
          <w:u w:val="none"/>
        </w:rPr>
        <w:t>南召县商务局</w:t>
      </w:r>
      <w:bookmarkStart w:id="0" w:name="_GoBack"/>
      <w:bookmarkEnd w:id="0"/>
      <w:r>
        <w:rPr>
          <w:rFonts w:hint="eastAsia" w:ascii="宋体" w:hAnsi="宋体" w:eastAsia="宋体" w:cs="宋体"/>
          <w:b/>
          <w:bCs/>
          <w:i w:val="0"/>
          <w:iCs w:val="0"/>
          <w:color w:val="000000"/>
          <w:sz w:val="44"/>
          <w:szCs w:val="44"/>
          <w:u w:val="none"/>
        </w:rPr>
        <w:t>保留的权责清单</w:t>
      </w:r>
    </w:p>
    <w:tbl>
      <w:tblPr>
        <w:tblStyle w:val="5"/>
        <w:tblW w:w="1506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73"/>
        <w:gridCol w:w="2115"/>
        <w:gridCol w:w="2925"/>
        <w:gridCol w:w="840"/>
        <w:gridCol w:w="1124"/>
        <w:gridCol w:w="3226"/>
        <w:gridCol w:w="3199"/>
        <w:gridCol w:w="858"/>
      </w:tblGrid>
      <w:tr w14:paraId="09BA1F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9"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A04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847C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10F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实施依据</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7731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职权类别</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6B9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办理环节</w:t>
            </w:r>
          </w:p>
        </w:tc>
        <w:tc>
          <w:tcPr>
            <w:tcW w:w="32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6F93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责任事项</w:t>
            </w:r>
          </w:p>
        </w:tc>
        <w:tc>
          <w:tcPr>
            <w:tcW w:w="3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B7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追责情形</w:t>
            </w:r>
          </w:p>
        </w:tc>
        <w:tc>
          <w:tcPr>
            <w:tcW w:w="8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C57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责任  处室</w:t>
            </w:r>
          </w:p>
        </w:tc>
      </w:tr>
      <w:tr w14:paraId="264DE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6"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7FAD">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F62E8">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撤销成品油零售经营企业成品油经营资格的初审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DA09F">
            <w:pPr>
              <w:autoSpaceDN w:val="0"/>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《河南省商务厅关于做好近期成品油市场管理工作的通知》豫商运行〔2020〕79号。成品油管理办法废止之后，在新的成品油管理规定未出台之前，按照此文件做好我省成品油市场管理工作</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18DBC99C">
            <w:pPr>
              <w:autoSpaceDN w:val="0"/>
              <w:jc w:val="center"/>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0FBE906A">
            <w:pPr>
              <w:autoSpaceDN w:val="0"/>
              <w:jc w:val="center"/>
              <w:textAlignment w:val="center"/>
              <w:rPr>
                <w:rFonts w:hint="eastAsia" w:ascii="宋体" w:hAnsi="宋体" w:eastAsia="宋体" w:cs="Times New Roman"/>
                <w:color w:val="000000"/>
                <w:kern w:val="2"/>
                <w:sz w:val="22"/>
                <w:szCs w:val="22"/>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vAlign w:val="center"/>
          </w:tcPr>
          <w:p w14:paraId="58C28E11">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 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1026463B">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037A10E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57068A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6"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2661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2</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3BD13">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成品油零售经营资格延续申请（初审）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ED1CC">
            <w:pPr>
              <w:autoSpaceDN w:val="0"/>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《河南省商务厅关于做好近期成品油市场管理工作的通知》豫商运行〔2020〕79号。成品油管理办法废止之后，在新的成品油管理规定未出台之前，按照此文件做好我省成品油市场管理工作</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6B15856A">
            <w:pPr>
              <w:autoSpaceDN w:val="0"/>
              <w:jc w:val="center"/>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457E9964">
            <w:pPr>
              <w:autoSpaceDN w:val="0"/>
              <w:jc w:val="center"/>
              <w:textAlignment w:val="center"/>
              <w:rPr>
                <w:rFonts w:hint="eastAsia" w:ascii="宋体" w:hAnsi="宋体" w:eastAsia="宋体" w:cs="Times New Roman"/>
                <w:color w:val="000000"/>
                <w:kern w:val="2"/>
                <w:sz w:val="22"/>
                <w:szCs w:val="22"/>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vAlign w:val="center"/>
          </w:tcPr>
          <w:p w14:paraId="1CA6D4C6">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 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2A07E90E">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30A3766C">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48892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76"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DE5A">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3</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3F324">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成品油零售经营企业名称变更（初审）</w:t>
            </w:r>
          </w:p>
        </w:tc>
        <w:tc>
          <w:tcPr>
            <w:tcW w:w="29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C5A67">
            <w:pPr>
              <w:autoSpaceDN w:val="0"/>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《河南省商务厅关于做好近期成品油市场管理工作的通知》豫商运行〔2020〕79号。成品油管理办法废止之后，在新的成品油管理规定未出台之前，按照此文件做好我省成品油市场管理工作</w:t>
            </w:r>
          </w:p>
        </w:tc>
        <w:tc>
          <w:tcPr>
            <w:tcW w:w="840" w:type="dxa"/>
            <w:tcBorders>
              <w:top w:val="single" w:color="000000" w:sz="4" w:space="0"/>
              <w:left w:val="single" w:color="000000" w:sz="4" w:space="0"/>
              <w:bottom w:val="nil"/>
              <w:right w:val="single" w:color="000000" w:sz="4" w:space="0"/>
            </w:tcBorders>
            <w:shd w:val="clear" w:color="auto" w:fill="auto"/>
            <w:vAlign w:val="center"/>
          </w:tcPr>
          <w:p w14:paraId="5509ED84">
            <w:pPr>
              <w:autoSpaceDN w:val="0"/>
              <w:jc w:val="center"/>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0833AE27">
            <w:pPr>
              <w:autoSpaceDN w:val="0"/>
              <w:jc w:val="center"/>
              <w:textAlignment w:val="center"/>
              <w:rPr>
                <w:rFonts w:hint="eastAsia" w:ascii="宋体" w:hAnsi="宋体" w:eastAsia="宋体" w:cs="Times New Roman"/>
                <w:color w:val="000000"/>
                <w:kern w:val="2"/>
                <w:sz w:val="22"/>
                <w:szCs w:val="22"/>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vAlign w:val="center"/>
          </w:tcPr>
          <w:p w14:paraId="4BBB8007">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1E288FE2">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71C431B0">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2C194A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1"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9634">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2"/>
                <w:szCs w:val="22"/>
                <w:u w:val="none"/>
                <w:lang w:val="en-US" w:eastAsia="zh-CN" w:bidi="ar-SA"/>
              </w:rPr>
            </w:pPr>
            <w:r>
              <w:rPr>
                <w:rFonts w:hint="eastAsia" w:ascii="仿宋_GB2312" w:hAnsi="仿宋_GB2312" w:eastAsia="仿宋_GB2312" w:cs="仿宋_GB2312"/>
                <w:b/>
                <w:bCs/>
                <w:i w:val="0"/>
                <w:iCs w:val="0"/>
                <w:color w:val="000000"/>
                <w:kern w:val="2"/>
                <w:sz w:val="22"/>
                <w:szCs w:val="22"/>
                <w:u w:val="none"/>
                <w:lang w:val="en-US" w:eastAsia="zh-CN" w:bidi="ar-SA"/>
              </w:rPr>
              <w:t>4</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91D0F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成品油零售经营企业地址变更（初审）</w:t>
            </w:r>
          </w:p>
        </w:tc>
        <w:tc>
          <w:tcPr>
            <w:tcW w:w="2925" w:type="dxa"/>
            <w:tcBorders>
              <w:top w:val="single" w:color="000000" w:sz="4" w:space="0"/>
              <w:left w:val="single" w:color="000000" w:sz="4" w:space="0"/>
              <w:bottom w:val="single" w:color="auto" w:sz="4" w:space="0"/>
              <w:right w:val="single" w:color="000000" w:sz="4" w:space="0"/>
            </w:tcBorders>
            <w:shd w:val="clear" w:color="auto" w:fill="auto"/>
            <w:vAlign w:val="center"/>
          </w:tcPr>
          <w:p w14:paraId="1A7F3CE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《河南省商务厅关于做好近期成品油市场管理工作的通知》豫商运行〔2020〕80号。成品油管理办法废止之后，在新的成品油管理规定未出台之前，按照此文件做好我省成品油市场管理工作</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D671CAF">
            <w:pPr>
              <w:jc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31E29807">
            <w:pPr>
              <w:autoSpaceDN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vAlign w:val="center"/>
          </w:tcPr>
          <w:p w14:paraId="01FF836D">
            <w:pPr>
              <w:autoSpaceDN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 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5685B089">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65EA9A98">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6C441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1"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1C20E">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2"/>
                <w:sz w:val="22"/>
                <w:szCs w:val="22"/>
                <w:u w:val="none"/>
                <w:lang w:val="en-US" w:eastAsia="zh-CN" w:bidi="ar-SA"/>
              </w:rPr>
            </w:pPr>
            <w:r>
              <w:rPr>
                <w:rFonts w:hint="eastAsia" w:ascii="仿宋_GB2312" w:hAnsi="仿宋_GB2312" w:eastAsia="仿宋_GB2312" w:cs="仿宋_GB2312"/>
                <w:b/>
                <w:bCs/>
                <w:i w:val="0"/>
                <w:iCs w:val="0"/>
                <w:color w:val="000000"/>
                <w:kern w:val="2"/>
                <w:sz w:val="22"/>
                <w:szCs w:val="22"/>
                <w:u w:val="none"/>
                <w:lang w:val="en-US" w:eastAsia="zh-CN" w:bidi="ar-SA"/>
              </w:rPr>
              <w:t>5</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B7E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成品油零售企业法定代表人或负责人变更</w:t>
            </w:r>
          </w:p>
        </w:tc>
        <w:tc>
          <w:tcPr>
            <w:tcW w:w="29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139D21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《河南省商务厅关于做好近期成品油市场管理工作的通知》豫商运行〔2020〕87号。成品油管理办法废止之后，在新的成品油管理规定未出台之前，按照此文件做好我省成品油市场管理工作</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3527BFB6">
            <w:pPr>
              <w:jc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3930FF27">
            <w:pPr>
              <w:autoSpaceDN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vAlign w:val="center"/>
          </w:tcPr>
          <w:p w14:paraId="40E0E808">
            <w:pPr>
              <w:autoSpaceDN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 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5C83E295">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56517C7F">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69644A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1"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5FA8E">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6</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22FE5">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成品油零售经营企业投资主体变更（初审）</w:t>
            </w:r>
          </w:p>
        </w:tc>
        <w:tc>
          <w:tcPr>
            <w:tcW w:w="29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1566B48">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《河南省商务厅关于做好近期成品油市场管理工作的通知》豫商运行〔2020〕84号。成品油管理办法废止之后，在新的成品油管理规定未出台之前，按照此文件做好我省成品油市场管理工作</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7F4546C5">
            <w:pPr>
              <w:jc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Times New Roman"/>
                <w:color w:val="000000"/>
                <w:sz w:val="22"/>
                <w:szCs w:val="22"/>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5B418FD3">
            <w:pPr>
              <w:autoSpaceDN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vAlign w:val="center"/>
          </w:tcPr>
          <w:p w14:paraId="3FCD8E2C">
            <w:pPr>
              <w:autoSpaceDN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 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087E9C75">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5B46A7C7">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0FFBF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1"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2FED4">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7</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8532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成品油零售经营企业扩建（初审）</w:t>
            </w:r>
          </w:p>
        </w:tc>
        <w:tc>
          <w:tcPr>
            <w:tcW w:w="2925" w:type="dxa"/>
            <w:tcBorders>
              <w:top w:val="single" w:color="000000" w:sz="4" w:space="0"/>
              <w:left w:val="single" w:color="000000" w:sz="4" w:space="0"/>
              <w:bottom w:val="single" w:color="auto" w:sz="4" w:space="0"/>
              <w:right w:val="single" w:color="000000" w:sz="4" w:space="0"/>
            </w:tcBorders>
            <w:shd w:val="clear" w:color="auto" w:fill="auto"/>
            <w:vAlign w:val="center"/>
          </w:tcPr>
          <w:p w14:paraId="49B4E5AD">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《河南省商务厅关于做好近期成品油市场管理工作的通知》豫商运行〔2020〕81号。成品油管理办法废止之后，在新的成品油管理规定未出台之前，按照此文件做好我省成品油市场管理工作</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096D6E92">
            <w:pPr>
              <w:jc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Times New Roman"/>
                <w:color w:val="000000"/>
                <w:sz w:val="22"/>
                <w:szCs w:val="22"/>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0EC8881E">
            <w:pPr>
              <w:autoSpaceDN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vAlign w:val="center"/>
          </w:tcPr>
          <w:p w14:paraId="6EE15C06">
            <w:pPr>
              <w:autoSpaceDN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3E11797E">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3F04F48A">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6F747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1"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DC2A8">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8</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E18C">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成品油零售经营企业迁建（初审）</w:t>
            </w:r>
          </w:p>
        </w:tc>
        <w:tc>
          <w:tcPr>
            <w:tcW w:w="2925" w:type="dxa"/>
            <w:tcBorders>
              <w:top w:val="single" w:color="000000" w:sz="4" w:space="0"/>
              <w:left w:val="single" w:color="000000" w:sz="4" w:space="0"/>
              <w:bottom w:val="single" w:color="auto" w:sz="4" w:space="0"/>
              <w:right w:val="single" w:color="000000" w:sz="4" w:space="0"/>
            </w:tcBorders>
            <w:shd w:val="clear" w:color="auto" w:fill="auto"/>
            <w:vAlign w:val="center"/>
          </w:tcPr>
          <w:p w14:paraId="269894B7">
            <w:pPr>
              <w:keepNext w:val="0"/>
              <w:keepLines w:val="0"/>
              <w:widowControl/>
              <w:suppressLineNumbers w:val="0"/>
              <w:jc w:val="left"/>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《河南省商务厅关于做好近期成品油市场管理工作的通知》豫商运行〔2020〕83号。成品油管理办法废止之后，在新的成品油管理规定未出台之前，按照此文件做好我省成品油市场管理工作</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5B27E109">
            <w:pPr>
              <w:jc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1A54CA8E">
            <w:pPr>
              <w:autoSpaceDN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vAlign w:val="center"/>
          </w:tcPr>
          <w:p w14:paraId="5B886F95">
            <w:pPr>
              <w:autoSpaceDN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1D92FD31">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480604A6">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14C50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11"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942C">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9</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59684">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成品油零售经营批准证书遗失补证（初审）</w:t>
            </w:r>
          </w:p>
        </w:tc>
        <w:tc>
          <w:tcPr>
            <w:tcW w:w="2925" w:type="dxa"/>
            <w:tcBorders>
              <w:top w:val="single" w:color="000000" w:sz="4" w:space="0"/>
              <w:left w:val="single" w:color="000000" w:sz="4" w:space="0"/>
              <w:bottom w:val="single" w:color="auto" w:sz="4" w:space="0"/>
              <w:right w:val="single" w:color="000000" w:sz="4" w:space="0"/>
            </w:tcBorders>
            <w:shd w:val="clear" w:color="auto" w:fill="auto"/>
            <w:vAlign w:val="center"/>
          </w:tcPr>
          <w:p w14:paraId="3B40F1F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《河南省商务厅关于做好近期成品油市场管理工作的通知》豫商运行〔2020〕79号。成品油管理办法废止之后，在新的成品油管理规定未出台之前，按照此文件做好我省成品油市场管理工作</w:t>
            </w:r>
          </w:p>
        </w:tc>
        <w:tc>
          <w:tcPr>
            <w:tcW w:w="840" w:type="dxa"/>
            <w:tcBorders>
              <w:top w:val="single" w:color="000000" w:sz="4" w:space="0"/>
              <w:left w:val="single" w:color="000000" w:sz="4" w:space="0"/>
              <w:bottom w:val="single" w:color="auto" w:sz="4" w:space="0"/>
              <w:right w:val="single" w:color="000000" w:sz="4" w:space="0"/>
            </w:tcBorders>
            <w:shd w:val="clear" w:color="auto" w:fill="auto"/>
            <w:vAlign w:val="center"/>
          </w:tcPr>
          <w:p w14:paraId="1CCE5B2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09EFD195">
            <w:pPr>
              <w:autoSpaceDN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vAlign w:val="center"/>
          </w:tcPr>
          <w:p w14:paraId="2AB8C48D">
            <w:pPr>
              <w:autoSpaceDN w:val="0"/>
              <w:jc w:val="left"/>
              <w:textAlignment w:val="center"/>
              <w:rPr>
                <w:rFonts w:hint="eastAsia" w:ascii="仿宋" w:hAnsi="仿宋" w:eastAsia="仿宋" w:cs="仿宋"/>
                <w:i w:val="0"/>
                <w:iCs w:val="0"/>
                <w:color w:val="000000"/>
                <w:sz w:val="20"/>
                <w:szCs w:val="20"/>
                <w:u w:val="none"/>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434C818D">
            <w:pPr>
              <w:rPr>
                <w:rFonts w:hint="eastAsia" w:ascii="仿宋" w:hAnsi="仿宋" w:eastAsia="仿宋" w:cs="仿宋"/>
                <w:i w:val="0"/>
                <w:iCs w:val="0"/>
                <w:color w:val="000000"/>
                <w:sz w:val="20"/>
                <w:szCs w:val="20"/>
                <w:u w:val="none"/>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3CB6BEED">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582E6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1"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F9DCC">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10</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2690E">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成品油零售经营资格的注销（初审）</w:t>
            </w:r>
          </w:p>
        </w:tc>
        <w:tc>
          <w:tcPr>
            <w:tcW w:w="2925" w:type="dxa"/>
            <w:tcBorders>
              <w:top w:val="single" w:color="auto" w:sz="4" w:space="0"/>
              <w:left w:val="single" w:color="000000" w:sz="4" w:space="0"/>
              <w:bottom w:val="single" w:color="auto" w:sz="4" w:space="0"/>
              <w:right w:val="single" w:color="000000" w:sz="4" w:space="0"/>
            </w:tcBorders>
            <w:shd w:val="clear" w:color="auto" w:fill="auto"/>
            <w:vAlign w:val="center"/>
          </w:tcPr>
          <w:p w14:paraId="03E1F77A">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《河南省商务厅关于做好近期成品油市场管理工作的通知》豫商运行〔2020〕85号。成品油管理办法废止之后，在新的成品油管理规定未出台之前，按照此文件做好我省成品油市场管理工作</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15764E8A">
            <w:pPr>
              <w:jc w:val="cente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5CDDF27A">
            <w:pPr>
              <w:autoSpaceDN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vAlign w:val="center"/>
          </w:tcPr>
          <w:p w14:paraId="50C80181">
            <w:pPr>
              <w:autoSpaceDN w:val="0"/>
              <w:jc w:val="left"/>
              <w:textAlignment w:val="center"/>
              <w:rPr>
                <w:rFonts w:hint="eastAsia" w:ascii="仿宋" w:hAnsi="仿宋" w:eastAsia="仿宋" w:cs="仿宋"/>
                <w:i w:val="0"/>
                <w:iCs w:val="0"/>
                <w:color w:val="000000"/>
                <w:sz w:val="20"/>
                <w:szCs w:val="20"/>
                <w:u w:val="none"/>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 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0803D054">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491E439F">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65F5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62DC3">
            <w:pPr>
              <w:keepNext w:val="0"/>
              <w:keepLines w:val="0"/>
              <w:widowControl/>
              <w:suppressLineNumbers w:val="0"/>
              <w:jc w:val="center"/>
              <w:textAlignment w:val="center"/>
              <w:rPr>
                <w:rFonts w:hint="default" w:ascii="仿宋_GB2312" w:hAnsi="仿宋_GB2312" w:eastAsia="仿宋_GB2312" w:cs="仿宋_GB2312"/>
                <w:b/>
                <w:bCs/>
                <w:i w:val="0"/>
                <w:iCs w:val="0"/>
                <w:color w:val="000000"/>
                <w:sz w:val="22"/>
                <w:szCs w:val="22"/>
                <w:u w:val="none"/>
                <w:lang w:val="en-US" w:eastAsia="zh-CN"/>
              </w:rPr>
            </w:pPr>
            <w:r>
              <w:rPr>
                <w:rFonts w:hint="eastAsia" w:ascii="仿宋_GB2312" w:hAnsi="仿宋_GB2312" w:eastAsia="仿宋_GB2312" w:cs="仿宋_GB2312"/>
                <w:b/>
                <w:bCs/>
                <w:i w:val="0"/>
                <w:iCs w:val="0"/>
                <w:color w:val="000000"/>
                <w:sz w:val="22"/>
                <w:szCs w:val="22"/>
                <w:u w:val="none"/>
                <w:lang w:val="en-US" w:eastAsia="zh-CN"/>
              </w:rPr>
              <w:t>11</w:t>
            </w:r>
          </w:p>
        </w:tc>
        <w:tc>
          <w:tcPr>
            <w:tcW w:w="21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732D92">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成品油零售经营资格首次申请（初审）</w:t>
            </w:r>
          </w:p>
        </w:tc>
        <w:tc>
          <w:tcPr>
            <w:tcW w:w="2925" w:type="dxa"/>
            <w:tcBorders>
              <w:top w:val="single" w:color="auto" w:sz="4" w:space="0"/>
              <w:left w:val="single" w:color="000000" w:sz="4" w:space="0"/>
              <w:bottom w:val="single" w:color="auto" w:sz="4" w:space="0"/>
              <w:right w:val="single" w:color="000000" w:sz="4" w:space="0"/>
            </w:tcBorders>
            <w:shd w:val="clear" w:color="auto" w:fill="auto"/>
            <w:vAlign w:val="center"/>
          </w:tcPr>
          <w:p w14:paraId="7798C6C0">
            <w:pPr>
              <w:keepNext w:val="0"/>
              <w:keepLines w:val="0"/>
              <w:widowControl/>
              <w:suppressLineNumbers w:val="0"/>
              <w:jc w:val="left"/>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《河南省商务厅关于做好近期成品油市场管理工作的通知》豫商运行〔2020〕86号。成品油管理办法废止之后，在新的成品油管理规定未出台之前，按照此文件做好我省成品油市场管理工作</w:t>
            </w:r>
          </w:p>
        </w:tc>
        <w:tc>
          <w:tcPr>
            <w:tcW w:w="840" w:type="dxa"/>
            <w:tcBorders>
              <w:top w:val="single" w:color="auto" w:sz="4" w:space="0"/>
              <w:left w:val="single" w:color="000000" w:sz="4" w:space="0"/>
              <w:bottom w:val="single" w:color="auto" w:sz="4" w:space="0"/>
              <w:right w:val="single" w:color="000000" w:sz="4" w:space="0"/>
            </w:tcBorders>
            <w:shd w:val="clear" w:color="auto" w:fill="auto"/>
            <w:vAlign w:val="center"/>
          </w:tcPr>
          <w:p w14:paraId="1FDFEBE6">
            <w:pPr>
              <w:jc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Times New Roman"/>
                <w:color w:val="000000"/>
                <w:sz w:val="22"/>
                <w:szCs w:val="22"/>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noWrap/>
            <w:vAlign w:val="center"/>
          </w:tcPr>
          <w:p w14:paraId="2F4B80FB">
            <w:pPr>
              <w:autoSpaceDN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vAlign w:val="center"/>
          </w:tcPr>
          <w:p w14:paraId="0C571A44">
            <w:pPr>
              <w:autoSpaceDN w:val="0"/>
              <w:jc w:val="left"/>
              <w:textAlignment w:val="center"/>
              <w:rPr>
                <w:rFonts w:hint="eastAsia" w:ascii="仿宋" w:hAnsi="仿宋" w:eastAsia="仿宋" w:cs="仿宋"/>
                <w:i w:val="0"/>
                <w:iCs w:val="0"/>
                <w:color w:val="000000"/>
                <w:sz w:val="20"/>
                <w:szCs w:val="20"/>
                <w:u w:val="none"/>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 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vAlign w:val="center"/>
          </w:tcPr>
          <w:p w14:paraId="03D64536">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1E804036">
            <w:pPr>
              <w:keepNext w:val="0"/>
              <w:keepLines w:val="0"/>
              <w:widowControl/>
              <w:suppressLineNumbers w:val="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7C80E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42"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517D7">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2"/>
                <w:szCs w:val="22"/>
                <w:u w:val="none"/>
                <w:lang w:val="en-US" w:eastAsia="zh-CN"/>
              </w:rPr>
            </w:pPr>
            <w:r>
              <w:rPr>
                <w:rFonts w:hint="eastAsia" w:ascii="仿宋_GB2312" w:hAnsi="仿宋_GB2312" w:eastAsia="仿宋_GB2312" w:cs="仿宋_GB2312"/>
                <w:b/>
                <w:bCs/>
                <w:i w:val="0"/>
                <w:iCs w:val="0"/>
                <w:color w:val="auto"/>
                <w:sz w:val="22"/>
                <w:szCs w:val="22"/>
                <w:u w:val="none"/>
                <w:lang w:val="en-US" w:eastAsia="zh-CN"/>
              </w:rPr>
              <w:t>12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4157D">
            <w:pPr>
              <w:autoSpaceDN w:val="0"/>
              <w:jc w:val="left"/>
              <w:textAlignment w:val="center"/>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sz w:val="22"/>
                <w:szCs w:val="22"/>
              </w:rPr>
              <w:t>规模发卡企业、集团发卡企业和品牌发卡企业未按规定在开展单用途卡业务之日起30日内办理备案行为的处罚</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1BA9104">
            <w:pPr>
              <w:autoSpaceDN w:val="0"/>
              <w:textAlignment w:val="center"/>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仿宋_GB2312"/>
                <w:color w:val="000000"/>
                <w:kern w:val="0"/>
                <w:sz w:val="22"/>
                <w:szCs w:val="22"/>
              </w:rPr>
              <w:t>《单用途商业预付卡管理办法（试行）》（商务部令2012年第9号）　第三十六条　发卡企业违反本办法第七条规定的，由违法行为发生地县级以上地方人民政府商务主管部门责令限期改正；逾期仍不改正的，处以1万元以上3万元以下罚款。第三十七条　发卡企业或售卡企业违反本办法第十四条至第二十二条规定的，由违法行为发生地县级以上地方人民政府商务主管部门责令限期改正；逾期仍不改正的，处以1万元以上3万元以下罚款。发卡企业违反本办法第二十四条至第二十七条、第三十一条规定的，由备案机关责令限期改正；逾期仍不改正的，处以1万元以上3万元以下罚款。集团发卡企业、品牌发卡企业疏于管理，其隶属的售卡企业12个月内3次违反本办法规定受到行政处罚的，备案机关可以对集团发卡企业、品牌发卡企业处以3万元以下罚款。第三十八条　发卡企业违反本办法第二十九条规定，造成重大损失的，由备案机关处以1万元以上3万元以下罚款。第三十九条　发卡企业和售卡企业违反本办法受到行政处罚的，由实施处罚的商务主管部门在指定媒体上公示处罚信息</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0E3307D2">
            <w:pPr>
              <w:autoSpaceDN w:val="0"/>
              <w:jc w:val="center"/>
              <w:textAlignment w:val="center"/>
              <w:rPr>
                <w:rFonts w:hint="default"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sz w:val="22"/>
                <w:szCs w:val="22"/>
              </w:rPr>
              <w:t>行政处罚</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60837">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初步调查-立案-</w:t>
            </w:r>
          </w:p>
          <w:p w14:paraId="390C2B8B">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立案调查-处罚决定告知-送达-</w:t>
            </w:r>
          </w:p>
          <w:p w14:paraId="31DCA9A0">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公告</w:t>
            </w: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A1D73">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1、</w:t>
            </w:r>
            <w:r>
              <w:rPr>
                <w:rFonts w:hint="eastAsia" w:ascii="仿宋_GB2312" w:hAnsi="仿宋_GB2312" w:eastAsia="仿宋_GB2312" w:cs="Times New Roman"/>
                <w:color w:val="000000"/>
                <w:sz w:val="22"/>
                <w:szCs w:val="22"/>
              </w:rPr>
              <w:t>由商务稽查大队对案件进行初步调查。</w:t>
            </w:r>
          </w:p>
          <w:p w14:paraId="799D5A3C">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2、</w:t>
            </w:r>
            <w:r>
              <w:rPr>
                <w:rFonts w:hint="eastAsia" w:ascii="仿宋_GB2312" w:hAnsi="仿宋_GB2312" w:eastAsia="仿宋_GB2312" w:cs="Times New Roman"/>
                <w:color w:val="000000"/>
                <w:sz w:val="22"/>
                <w:szCs w:val="22"/>
              </w:rPr>
              <w:t>属于商务行政处罚范围的，予以立案。</w:t>
            </w:r>
          </w:p>
          <w:p w14:paraId="731C5F56">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3、</w:t>
            </w:r>
            <w:r>
              <w:rPr>
                <w:rFonts w:hint="eastAsia" w:ascii="仿宋_GB2312" w:hAnsi="仿宋_GB2312" w:eastAsia="仿宋_GB2312" w:cs="Times New Roman"/>
                <w:color w:val="000000"/>
                <w:sz w:val="22"/>
                <w:szCs w:val="22"/>
              </w:rPr>
              <w:t>由商务主管部门负责人批准，确定两名以上执法人员为案件承办人负责案件调查，对案件当事人及相关证人进行询问并制作询问笔录。</w:t>
            </w:r>
          </w:p>
          <w:p w14:paraId="69FC4206">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4、</w:t>
            </w:r>
            <w:r>
              <w:rPr>
                <w:rFonts w:hint="eastAsia" w:ascii="仿宋_GB2312" w:hAnsi="仿宋_GB2312" w:eastAsia="仿宋_GB2312" w:cs="Times New Roman"/>
                <w:color w:val="000000"/>
                <w:sz w:val="22"/>
                <w:szCs w:val="22"/>
              </w:rPr>
              <w:t>违法事实成立，应给予行政处罚的，由案件承办人填写《行政处罚审批表》，报责任科室核审，主管部门负责人审查决定；重大案件由商务主管部门负责人组织集体讨论决定。</w:t>
            </w:r>
          </w:p>
          <w:p w14:paraId="56429A53">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5、</w:t>
            </w:r>
            <w:r>
              <w:rPr>
                <w:rFonts w:hint="eastAsia" w:ascii="仿宋_GB2312" w:hAnsi="仿宋_GB2312" w:eastAsia="仿宋_GB2312" w:cs="Times New Roman"/>
                <w:color w:val="000000"/>
                <w:sz w:val="22"/>
                <w:szCs w:val="22"/>
              </w:rPr>
              <w:t>作出《行政处罚事先告知书》送达给违法企业或个人。</w:t>
            </w:r>
          </w:p>
          <w:p w14:paraId="0C3DC410">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6.</w:t>
            </w:r>
            <w:r>
              <w:rPr>
                <w:rFonts w:hint="eastAsia" w:ascii="仿宋_GB2312" w:hAnsi="仿宋_GB2312" w:eastAsia="仿宋_GB2312" w:cs="Times New Roman"/>
                <w:color w:val="000000"/>
                <w:sz w:val="22"/>
                <w:szCs w:val="22"/>
              </w:rPr>
              <w:t>3日内若无异议，则作出《行政处罚决定书》送达给违法企业或个人，收到决定书之日起60日内可申请行政复议，也可在收到决定书6个月内向法院提起行政诉讼。</w:t>
            </w:r>
          </w:p>
          <w:p w14:paraId="60044FAE">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lang w:val="en-US" w:eastAsia="zh-CN"/>
              </w:rPr>
              <w:t>7.</w:t>
            </w:r>
            <w:r>
              <w:rPr>
                <w:rFonts w:hint="eastAsia" w:ascii="仿宋_GB2312" w:hAnsi="仿宋_GB2312" w:eastAsia="仿宋_GB2312" w:cs="Times New Roman"/>
                <w:color w:val="000000"/>
                <w:sz w:val="22"/>
                <w:szCs w:val="22"/>
              </w:rPr>
              <w:t>在县商务局公众号进行公告。</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0FFDD46F">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因不履行或不正确履行行政职责，出现以下情形的，行政机关及相关工作人员应承担相应责任：</w:t>
            </w:r>
          </w:p>
          <w:p w14:paraId="04515B2A">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1、没有法律和事实依据施行政处罚的；</w:t>
            </w:r>
          </w:p>
          <w:p w14:paraId="5FA77217">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2、违反法定程序进行处罚的；</w:t>
            </w:r>
          </w:p>
          <w:p w14:paraId="3FFEB81B">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3、擅自改变行政处罚种类、幅度的；</w:t>
            </w:r>
          </w:p>
          <w:p w14:paraId="22107ACA">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4、对应当予以制止和处罚的违法行为不予制止、处罚的；</w:t>
            </w:r>
          </w:p>
          <w:p w14:paraId="53C542D7">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5、违法处罚，造成不良社会影响或后果的；</w:t>
            </w:r>
          </w:p>
          <w:p w14:paraId="0E594AFC">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 xml:space="preserve">6、违反“缴罚分离”规定，擅自收取罚款的； </w:t>
            </w:r>
          </w:p>
          <w:p w14:paraId="38034CF3">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7.将罚款、没收的违法所得或者财物截留、私分或者变相私分的；</w:t>
            </w:r>
          </w:p>
          <w:p w14:paraId="7733FBDC">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8、符合听证条件、行政管理相对人要求听证，应予组织听证而不组织听证的；</w:t>
            </w:r>
          </w:p>
          <w:p w14:paraId="15457567">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9、在行政处罚过程中发生腐败行为的；</w:t>
            </w:r>
          </w:p>
          <w:p w14:paraId="055472FF">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10、依法应当移送司法机关处理而未移送的；</w:t>
            </w:r>
          </w:p>
          <w:p w14:paraId="094B6919">
            <w:pP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11、其他违反法律法规规章文件规定的行为。</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5F3D90FB">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商务稽查大队</w:t>
            </w:r>
          </w:p>
        </w:tc>
      </w:tr>
      <w:tr w14:paraId="5C30E8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51DC4">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2"/>
                <w:szCs w:val="22"/>
                <w:u w:val="none"/>
                <w:lang w:val="en-US" w:eastAsia="zh-CN"/>
              </w:rPr>
            </w:pPr>
            <w:r>
              <w:rPr>
                <w:rFonts w:hint="eastAsia" w:ascii="仿宋_GB2312" w:hAnsi="仿宋_GB2312" w:eastAsia="仿宋_GB2312" w:cs="仿宋_GB2312"/>
                <w:b/>
                <w:bCs/>
                <w:i w:val="0"/>
                <w:iCs w:val="0"/>
                <w:color w:val="auto"/>
                <w:sz w:val="22"/>
                <w:szCs w:val="22"/>
                <w:u w:val="none"/>
                <w:lang w:val="en-US" w:eastAsia="zh-CN"/>
              </w:rPr>
              <w:t>13</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4EA3D">
            <w:pPr>
              <w:autoSpaceDN w:val="0"/>
              <w:jc w:val="left"/>
              <w:textAlignment w:val="center"/>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sz w:val="22"/>
                <w:szCs w:val="22"/>
              </w:rPr>
              <w:t>对散装水泥使用量达不到70%的水泥制品生产企业违反《河南省散装水泥管理规定》行为的处罚</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FBDF58C">
            <w:pPr>
              <w:autoSpaceDN w:val="0"/>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仿宋_GB2312"/>
                <w:color w:val="000000"/>
                <w:kern w:val="0"/>
                <w:sz w:val="22"/>
                <w:szCs w:val="22"/>
              </w:rPr>
              <w:t>河南省发展散装水泥管理规定》（省政府令第121号）第二十条第二款：“违反本规定第八条第一款的规定,散装水泥使用量达不到70%的水泥制品生产企业,由散装水泥行政主管部门委托散装水泥管理机构责令限期改正,并处以每立方米混凝土100元、每吨砂浆200元或者每吨袋装水泥300元的罚款,但罚款总额不超过30000元。</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10261975">
            <w:pPr>
              <w:jc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Times New Roman"/>
                <w:color w:val="000000"/>
                <w:sz w:val="22"/>
                <w:szCs w:val="22"/>
              </w:rPr>
              <w:t>行政处罚</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E69AC">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立案-调查-审查-</w:t>
            </w:r>
          </w:p>
          <w:p w14:paraId="47C497F1">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告知- 决定-送达-</w:t>
            </w:r>
          </w:p>
          <w:p w14:paraId="43BDAE35">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执行</w:t>
            </w: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C55EC">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1、</w:t>
            </w:r>
            <w:r>
              <w:rPr>
                <w:rFonts w:hint="eastAsia" w:ascii="仿宋_GB2312" w:hAnsi="仿宋_GB2312" w:eastAsia="仿宋_GB2312" w:cs="Times New Roman"/>
                <w:color w:val="000000"/>
                <w:sz w:val="22"/>
                <w:szCs w:val="22"/>
              </w:rPr>
              <w:t>接到案件线索后，予以调查，决定是否立案。</w:t>
            </w:r>
          </w:p>
          <w:p w14:paraId="2AE08CA7">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2、</w:t>
            </w:r>
            <w:r>
              <w:rPr>
                <w:rFonts w:hint="eastAsia" w:ascii="仿宋_GB2312" w:hAnsi="仿宋_GB2312" w:eastAsia="仿宋_GB2312" w:cs="Times New Roman"/>
                <w:color w:val="000000"/>
                <w:sz w:val="22"/>
                <w:szCs w:val="22"/>
              </w:rPr>
              <w:t>对立案的案件，案件承办人员及时、全面、客观、公正地调查收集与案件有关的证据，查明事实，执法人员进行现场检查。与当事人有直接利害关系的应当回避；在调查或检查时，执法人员不得少于两人；并应当向当事人或有关人员出示执法证件。</w:t>
            </w:r>
          </w:p>
          <w:p w14:paraId="74809085">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3、</w:t>
            </w:r>
            <w:r>
              <w:rPr>
                <w:rFonts w:hint="eastAsia" w:ascii="仿宋_GB2312" w:hAnsi="仿宋_GB2312" w:eastAsia="仿宋_GB2312" w:cs="Times New Roman"/>
                <w:color w:val="000000"/>
                <w:sz w:val="22"/>
                <w:szCs w:val="22"/>
              </w:rPr>
              <w:t>对案件违法事实、证据、调查取证程序、法律适用、处罚种类和幅度、当事人陈诉和申辩理由等方面进行审查，提出处理意见。</w:t>
            </w:r>
          </w:p>
          <w:p w14:paraId="315772FE">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4、</w:t>
            </w:r>
            <w:r>
              <w:rPr>
                <w:rFonts w:hint="eastAsia" w:ascii="仿宋_GB2312" w:hAnsi="仿宋_GB2312" w:eastAsia="仿宋_GB2312" w:cs="Times New Roman"/>
                <w:color w:val="000000"/>
                <w:sz w:val="22"/>
                <w:szCs w:val="22"/>
              </w:rPr>
              <w:t>在作出行政处罚决定前，书面告知当事人拟作出处罚决定的事实、理由、依据、处罚内容，以及当事人享有的陈述权、申辩权和听证权。</w:t>
            </w:r>
          </w:p>
          <w:p w14:paraId="4FD8C17F">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5、</w:t>
            </w:r>
            <w:r>
              <w:rPr>
                <w:rFonts w:hint="eastAsia" w:ascii="仿宋_GB2312" w:hAnsi="仿宋_GB2312" w:eastAsia="仿宋_GB2312" w:cs="Times New Roman"/>
                <w:color w:val="000000"/>
                <w:sz w:val="22"/>
                <w:szCs w:val="22"/>
              </w:rPr>
              <w:t>依法需要给予行政处罚决定的，应制作《行政处罚决定书》，载明违法事实和证据、处罚依据和内容、申请行政复议或提起行政诉讼的途径和期限等内容。</w:t>
            </w:r>
          </w:p>
          <w:p w14:paraId="1172F31C">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6、</w:t>
            </w:r>
            <w:r>
              <w:rPr>
                <w:rFonts w:hint="eastAsia" w:ascii="仿宋_GB2312" w:hAnsi="仿宋_GB2312" w:eastAsia="仿宋_GB2312" w:cs="Times New Roman"/>
                <w:color w:val="000000"/>
                <w:sz w:val="22"/>
                <w:szCs w:val="22"/>
              </w:rPr>
              <w:t>行政处罚决定书应当在宣告后当场交付当事人；当事人不在场的，行政机关应当在七日内依照民事诉讼法的有关规定，将行政处罚决定书送达当事人或其委托代表人。</w:t>
            </w:r>
          </w:p>
          <w:p w14:paraId="43CAED5D">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lang w:val="en-US" w:eastAsia="zh-CN"/>
              </w:rPr>
              <w:t>7、</w:t>
            </w:r>
            <w:r>
              <w:rPr>
                <w:rFonts w:hint="eastAsia" w:ascii="仿宋_GB2312" w:hAnsi="仿宋_GB2312" w:eastAsia="仿宋_GB2312" w:cs="Times New Roman"/>
                <w:color w:val="000000"/>
                <w:sz w:val="22"/>
                <w:szCs w:val="22"/>
              </w:rPr>
              <w:t>监督当事人在决定的期限内（15日内），履行生效的行政处罚决定，当事人在法定期限内没有申请行政复议或提起行政诉讼，又不履行的，可申请人民法院强制执行。</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2ED85D11">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因不履行或不正确履行行政职责，出现以下情形的，行政机关及相关工作人员应承担相应责任：</w:t>
            </w:r>
          </w:p>
          <w:p w14:paraId="32FC591B">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1、没有法律和事实依据施行政处罚的；</w:t>
            </w:r>
          </w:p>
          <w:p w14:paraId="353AF9C2">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2、违反法定程序进行处罚的；</w:t>
            </w:r>
          </w:p>
          <w:p w14:paraId="4067FB50">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3、擅自改变行政处罚种类、幅度的；</w:t>
            </w:r>
          </w:p>
          <w:p w14:paraId="31866AA6">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4、对应当予以制止和处罚的违法行为不予制止、处罚的；</w:t>
            </w:r>
          </w:p>
          <w:p w14:paraId="50416E80">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5、违法处罚，造成不良社会影响或后果的；</w:t>
            </w:r>
          </w:p>
          <w:p w14:paraId="18E11B5D">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 xml:space="preserve">6、违反“缴罚分离”规定，擅自收取罚款的； </w:t>
            </w:r>
          </w:p>
          <w:p w14:paraId="5475B14F">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7.将罚款、没收的违法所得或者财物截留、私分或者变相私分的；</w:t>
            </w:r>
          </w:p>
          <w:p w14:paraId="27CFC8FA">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8、符合听证条件、行政管理相对人要求听证，应予组织听证而不组织听证的；</w:t>
            </w:r>
          </w:p>
          <w:p w14:paraId="47E7B90C">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9、在行政处罚过程中发生腐败行为的；</w:t>
            </w:r>
          </w:p>
          <w:p w14:paraId="3FCBB40E">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10、依法应当移送司法机关处理而未移送的；</w:t>
            </w:r>
          </w:p>
          <w:p w14:paraId="1110E0BE">
            <w:pP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11、其他违反法律法规规章文件规定的行为。</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208CCC00">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商务稽查大队</w:t>
            </w:r>
          </w:p>
        </w:tc>
      </w:tr>
      <w:tr w14:paraId="730F0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7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399E">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2"/>
                <w:sz w:val="22"/>
                <w:szCs w:val="22"/>
                <w:u w:val="none"/>
                <w:lang w:val="en-US" w:eastAsia="zh-CN" w:bidi="ar-SA"/>
              </w:rPr>
              <w:t>14</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7F1C6">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对外国投资者或者外商投资企业未按照《外商投资信息报告办法》要求报送投资信息，且在商务主管部门通知后未按照本办法予以补报或更正的行为的处罚</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1E3F9B">
            <w:pPr>
              <w:autoSpaceDN w:val="0"/>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lang w:eastAsia="zh-CN"/>
              </w:rPr>
              <w:t>《</w:t>
            </w:r>
            <w:r>
              <w:rPr>
                <w:rFonts w:hint="eastAsia" w:ascii="仿宋_GB2312" w:hAnsi="仿宋_GB2312" w:eastAsia="仿宋_GB2312" w:cs="仿宋_GB2312"/>
                <w:color w:val="000000"/>
                <w:kern w:val="0"/>
                <w:sz w:val="22"/>
                <w:szCs w:val="22"/>
              </w:rPr>
              <w:t>外商投资信息报告办法》（中华人民共和国商务部  国家市场监督管理总局 二〇一九年 第2号令）</w:t>
            </w:r>
          </w:p>
          <w:p w14:paraId="644E35A0">
            <w:pPr>
              <w:autoSpaceDN w:val="0"/>
              <w:textAlignment w:val="center"/>
              <w:rPr>
                <w:rFonts w:hint="eastAsia" w:ascii="仿宋_GB2312" w:hAnsi="仿宋_GB2312" w:eastAsia="仿宋_GB2312" w:cs="仿宋_GB2312"/>
                <w:color w:val="000000"/>
                <w:kern w:val="0"/>
                <w:sz w:val="22"/>
                <w:szCs w:val="22"/>
                <w:lang w:val="en-US" w:eastAsia="zh-CN" w:bidi="ar-SA"/>
              </w:rPr>
            </w:pPr>
            <w:r>
              <w:rPr>
                <w:rFonts w:hint="eastAsia" w:ascii="仿宋_GB2312" w:hAnsi="仿宋_GB2312" w:eastAsia="仿宋_GB2312" w:cs="仿宋_GB2312"/>
                <w:color w:val="000000"/>
                <w:kern w:val="0"/>
                <w:sz w:val="22"/>
                <w:szCs w:val="22"/>
              </w:rPr>
              <w:t>第五章 法律责任第二十五条 外国投资者或者外商投资企业未按照本办法要求报送投资信息，且在商务主管部门通知后未按照本办法第十九条予以补报或更正的，由商务主管部门责令其于20个工作日内改正；逾期不改正的，处十万元以上三十万元以下罚款；逾期不改正且存在以下情形的，处三十万元以上五十万元以下罚款：（一）外国投资者或者外商投资企业故意逃避履行信息报告义务，或在进行信息报告时隐瞒真实情况、提供误导性或虚假信息；（二）外国投资者或者外商投资企业就所属行业、是否涉及外商投资准入特别管理措施、企业投资者及其实际控制人等重要信息报送错误；（三）外国投资者或者外商投资企业未按照本办法要求报送投资信息，并因此受到行政处罚的，两年内再次违反本办法有关要求；（四）商务主管部门认定的其他严重情形。</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3B1A37F5">
            <w:pPr>
              <w:autoSpaceDN w:val="0"/>
              <w:jc w:val="center"/>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lang w:val="en-US" w:eastAsia="zh-CN"/>
              </w:rPr>
              <w:t>行政处罚</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2808">
            <w:pPr>
              <w:autoSpaceDN w:val="0"/>
              <w:jc w:val="left"/>
              <w:textAlignment w:val="center"/>
              <w:rPr>
                <w:rFonts w:hint="default"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立案调查-审查-</w:t>
            </w:r>
          </w:p>
          <w:p w14:paraId="22B027B0">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告知-</w:t>
            </w:r>
          </w:p>
          <w:p w14:paraId="1465968E">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决定-</w:t>
            </w:r>
          </w:p>
          <w:p w14:paraId="0D4327D1">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公示</w:t>
            </w:r>
          </w:p>
          <w:p w14:paraId="56AE094E">
            <w:pPr>
              <w:autoSpaceDN w:val="0"/>
              <w:jc w:val="left"/>
              <w:textAlignment w:val="center"/>
              <w:rPr>
                <w:rFonts w:hint="eastAsia" w:ascii="仿宋_GB2312" w:hAnsi="仿宋_GB2312" w:eastAsia="仿宋_GB2312" w:cs="Times New Roman"/>
                <w:color w:val="000000"/>
                <w:sz w:val="22"/>
                <w:szCs w:val="22"/>
                <w:lang w:val="en-US" w:eastAsia="zh-CN"/>
              </w:rPr>
            </w:pPr>
          </w:p>
          <w:p w14:paraId="38E2DB43">
            <w:pPr>
              <w:autoSpaceDN w:val="0"/>
              <w:jc w:val="left"/>
              <w:textAlignment w:val="center"/>
              <w:rPr>
                <w:rFonts w:hint="eastAsia" w:ascii="仿宋_GB2312" w:hAnsi="仿宋_GB2312" w:eastAsia="仿宋_GB2312" w:cs="Times New Roman"/>
                <w:color w:val="000000"/>
                <w:sz w:val="22"/>
                <w:szCs w:val="22"/>
                <w:lang w:val="en-US" w:eastAsia="zh-CN"/>
              </w:rPr>
            </w:pPr>
          </w:p>
          <w:p w14:paraId="69417D74">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37FBD">
            <w:pPr>
              <w:autoSpaceDN w:val="0"/>
              <w:jc w:val="left"/>
              <w:textAlignment w:val="center"/>
              <w:rPr>
                <w:rFonts w:hint="eastAsia" w:ascii="仿宋_GB2312" w:hAnsi="仿宋_GB2312" w:eastAsia="仿宋_GB2312" w:cs="Times New Roman"/>
                <w:color w:val="000000"/>
                <w:sz w:val="22"/>
                <w:szCs w:val="22"/>
                <w:lang w:val="en-US" w:eastAsia="zh-CN"/>
              </w:rPr>
            </w:pPr>
          </w:p>
          <w:p w14:paraId="37B2FDCC">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1、商务主管部门对外国投资者、外商投资企业信息报告情况实施监督检查。</w:t>
            </w:r>
          </w:p>
          <w:p w14:paraId="16C49F7D">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2、商务主管部门可采取实地核查、书面检查等方式进行监督检查，可根据需要从其他部门获取信息用于核实外国投资者或者外商投资企业报送的投资信息是否真实、准确、完整、及时。</w:t>
            </w:r>
          </w:p>
          <w:p w14:paraId="5044F93E">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3、外国投资者或者外商投资企业未按要求报送投资信息，商务主管部门将进行告知。通知后未按照要求予以补报或更正的，由商务主管部门责令其于20个工作日内改正。</w:t>
            </w:r>
          </w:p>
          <w:p w14:paraId="14561DE1">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4、外国投资者或者外商投资企业未按要求报送投资信息且逾期不改正的，处十万元以上三十万元以下罚款；逾期不改正且存在以下情形的，处三十万元以上五十万元以下罚款。</w:t>
            </w:r>
          </w:p>
          <w:p w14:paraId="214AF4F9">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lang w:val="en-US" w:eastAsia="zh-CN"/>
              </w:rPr>
              <w:t>5、外国投资者、外商投资企业因违反信息报告义务受到商务主管部门行政处罚的，商务主管部门可将相关情况在外商投资信息报告系统公示平台上予以公示，并按照国家有关规定纳入信用信息系统。</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2661CFE7">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因不履行或不正确履行行政职责，出现以下情形的，行政机关及相关工作人员应承担相应责任：</w:t>
            </w:r>
          </w:p>
          <w:p w14:paraId="41CBF935">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1、没有法律和事实依据施行政处罚的；</w:t>
            </w:r>
          </w:p>
          <w:p w14:paraId="438686B0">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2、违反法定程序进行处罚的；</w:t>
            </w:r>
          </w:p>
          <w:p w14:paraId="32F8E6A5">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3、擅自改变行政处罚种类、幅度的；</w:t>
            </w:r>
          </w:p>
          <w:p w14:paraId="17582BC7">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4、对应当予以制止和处罚的违法行为不予制止、处罚的；</w:t>
            </w:r>
          </w:p>
          <w:p w14:paraId="6B8A3F01">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5、违法处罚，造成不良社会影响或后果的；</w:t>
            </w:r>
          </w:p>
          <w:p w14:paraId="52B84297">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 xml:space="preserve">6、违反“缴罚分离”规定，擅自收取罚款的； </w:t>
            </w:r>
          </w:p>
          <w:p w14:paraId="7536923B">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7.将罚款、没收的违法所得或者财物截留、私分或者变相私分的；</w:t>
            </w:r>
          </w:p>
          <w:p w14:paraId="3BED1BE9">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8、符合听证条件、行政管理相对人要求听证，应予组织听证而不组织听证的；</w:t>
            </w:r>
          </w:p>
          <w:p w14:paraId="12D3925C">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9、在行政处罚过程中发生腐败行为的；</w:t>
            </w:r>
          </w:p>
          <w:p w14:paraId="1927634C">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10、依法应当移送司法机关处理而未移送的；</w:t>
            </w:r>
          </w:p>
          <w:p w14:paraId="0857B39B">
            <w:pP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11、其他违反法律法规规章文件规定的行为。</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254D8D6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县招商投资促进中心</w:t>
            </w:r>
          </w:p>
        </w:tc>
      </w:tr>
      <w:tr w14:paraId="2223C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65C6A">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2"/>
                <w:sz w:val="22"/>
                <w:szCs w:val="22"/>
                <w:u w:val="none"/>
                <w:lang w:val="en-US" w:eastAsia="zh-CN" w:bidi="ar-SA"/>
              </w:rPr>
              <w:t>15</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DF44">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散装水泥推广应用、禁止施工现场搅拌混凝土和现场配置砂浆监督检查</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94702D9">
            <w:pPr>
              <w:autoSpaceDN w:val="0"/>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仿宋_GB2312"/>
                <w:color w:val="000000"/>
                <w:kern w:val="0"/>
                <w:sz w:val="22"/>
                <w:szCs w:val="22"/>
              </w:rPr>
              <w:t>1.《河南省发展散装水泥管理规定》（省政府令第121号）第十九条：“各级散装水泥管理机构应当加强对散装水泥推广应用情况的监督检查,及时查处违法行为。” 2.《商务部、公安部、建设部、交通部、质检总局、环保总局关于在部分城市限期禁止现场搅拌砂浆工作的通知》（商改发〔2007〕205号）第十条：“散装水泥行政主管部门应与建设行政主管部门、质检部门等密切配合，加强对预拌砂浆生产企业产品质量和建设施工现场的监督检查……”3.《河南省污染防治攻坚战领导小组办公室关于加强禁止现场搅拌混凝土和现场配置砂浆管控减少扬尘污染的通知》（豫环攻坚办[2019]81号）：“各级散装水泥主管部门应明确监管责任，建立台账，安排专人负责辖区施工工地“两个禁止”工作落实情况。”4、《河南省污染防治攻坚战领导小组办公室关于印发河南省2020年大气、水、土壤污染防治攻坚战实施方案的通知》（豫环攻坚办[2020]7号）：“28.全面提升“扬尘”污染治理水平。严格落实城市建成区内“两个禁止”（禁止现场搅拌混凝土和禁止现场配置砂浆）要求，加快“两个禁止”综合信息监管平台建设，实施动态监控。”5、《南阳市污染防治攻坚战领导小组办公室关于印发南阳市城市建成区内加强施工现场两个禁止管控减少扬尘污染实施方案的通知》（宛环攻坚办[2019]348号）：“各级散装水泥办公室（散装水泥管理机构）要经常性进行督查，对督查中存在的问题以照片、文字的方式形成材料，反馈至攻坚办及相关部门，以便及时查处。”</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7AC9E984">
            <w:pPr>
              <w:autoSpaceDN w:val="0"/>
              <w:jc w:val="center"/>
              <w:textAlignment w:val="center"/>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sz w:val="22"/>
                <w:szCs w:val="22"/>
                <w:lang w:val="en-US" w:eastAsia="zh-CN"/>
              </w:rPr>
              <w:t>行政检查</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5FC4F">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监督检查-处置-</w:t>
            </w:r>
          </w:p>
          <w:p w14:paraId="079074DE">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告知-公开-事后监督-案件提交</w:t>
            </w: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F80AF">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1、</w:t>
            </w:r>
            <w:r>
              <w:rPr>
                <w:rFonts w:hint="eastAsia" w:ascii="仿宋_GB2312" w:hAnsi="仿宋_GB2312" w:eastAsia="仿宋_GB2312" w:cs="Times New Roman"/>
                <w:color w:val="000000"/>
                <w:sz w:val="22"/>
                <w:szCs w:val="22"/>
              </w:rPr>
              <w:t>执法人员对散装水泥推广应用、禁止施工现场搅拌混凝土和现场配置砂浆监督检查进行监督、检查，及时、全面、客观、公正地调查收集相关的证据，查明事实。与当事人有直接利害关系的应当回避；在监督检查时，执法人员不得少于两人；并应当向当事人或有关人员出示执法证件。</w:t>
            </w:r>
          </w:p>
          <w:p w14:paraId="2B2BF593">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2、</w:t>
            </w:r>
            <w:r>
              <w:rPr>
                <w:rFonts w:hint="eastAsia" w:ascii="仿宋_GB2312" w:hAnsi="仿宋_GB2312" w:eastAsia="仿宋_GB2312" w:cs="Times New Roman"/>
                <w:color w:val="000000"/>
                <w:sz w:val="22"/>
                <w:szCs w:val="22"/>
              </w:rPr>
              <w:t>发现存在问题，提出整改意见，下发整改通知书。</w:t>
            </w:r>
          </w:p>
          <w:p w14:paraId="6C1C8C60">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3、</w:t>
            </w:r>
            <w:r>
              <w:rPr>
                <w:rFonts w:hint="eastAsia" w:ascii="仿宋_GB2312" w:hAnsi="仿宋_GB2312" w:eastAsia="仿宋_GB2312" w:cs="Times New Roman"/>
                <w:color w:val="000000"/>
                <w:sz w:val="22"/>
                <w:szCs w:val="22"/>
              </w:rPr>
              <w:t>书面告知当事人拟作出整改决定的事实、理由、依据、整改内容，以及当事人享有的陈述权、申辩权和听证权。</w:t>
            </w:r>
          </w:p>
          <w:p w14:paraId="4B6FD622">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4、</w:t>
            </w:r>
            <w:r>
              <w:rPr>
                <w:rFonts w:hint="eastAsia" w:ascii="仿宋_GB2312" w:hAnsi="仿宋_GB2312" w:eastAsia="仿宋_GB2312" w:cs="Times New Roman"/>
                <w:color w:val="000000"/>
                <w:sz w:val="22"/>
                <w:szCs w:val="22"/>
              </w:rPr>
              <w:t>向社会公开整改情况，并督促企业进行整改，其他法律法规规章文件规定应履行的责任。</w:t>
            </w:r>
          </w:p>
          <w:p w14:paraId="51309F82">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5、</w:t>
            </w:r>
            <w:r>
              <w:rPr>
                <w:rFonts w:hint="eastAsia" w:ascii="仿宋_GB2312" w:hAnsi="仿宋_GB2312" w:eastAsia="仿宋_GB2312" w:cs="Times New Roman"/>
                <w:color w:val="000000"/>
                <w:sz w:val="22"/>
                <w:szCs w:val="22"/>
              </w:rPr>
              <w:t>事后督查整改情况</w:t>
            </w:r>
          </w:p>
          <w:p w14:paraId="23AAD055">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lang w:val="en-US" w:eastAsia="zh-CN"/>
              </w:rPr>
              <w:t>6、</w:t>
            </w:r>
            <w:r>
              <w:rPr>
                <w:rFonts w:hint="eastAsia" w:ascii="仿宋_GB2312" w:hAnsi="仿宋_GB2312" w:eastAsia="仿宋_GB2312" w:cs="Times New Roman"/>
                <w:color w:val="000000"/>
                <w:sz w:val="22"/>
                <w:szCs w:val="22"/>
              </w:rPr>
              <w:t>对监督检查中发现的问题拒不整改的，提交相关部门按规定处罚。</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778F188F">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1、没有法律和事实依据开展政检查的；</w:t>
            </w:r>
          </w:p>
          <w:p w14:paraId="28867DDE">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2、违反法定程序进行检查的；</w:t>
            </w:r>
          </w:p>
          <w:p w14:paraId="56E104AB">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3、对应当予以制止的违规行为不予制止的；</w:t>
            </w:r>
          </w:p>
          <w:p w14:paraId="04C4D175">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4、违规检查，造成不良社会影响或后果的；</w:t>
            </w:r>
          </w:p>
          <w:p w14:paraId="44E376AD">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5、在行政检查过程中发生腐败行为的；</w:t>
            </w:r>
          </w:p>
          <w:p w14:paraId="64DAE751">
            <w:pP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6、其他违反法律法规规章文件规定的行为。</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65BC4B0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商务稽查大队</w:t>
            </w:r>
          </w:p>
        </w:tc>
      </w:tr>
      <w:tr w14:paraId="587AB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A727B">
            <w:pPr>
              <w:keepNext w:val="0"/>
              <w:keepLines w:val="0"/>
              <w:widowControl/>
              <w:suppressLineNumbers w:val="0"/>
              <w:jc w:val="center"/>
              <w:textAlignment w:val="center"/>
              <w:rPr>
                <w:rFonts w:hint="default" w:ascii="仿宋_GB2312" w:hAnsi="仿宋_GB2312" w:eastAsia="仿宋_GB2312" w:cs="仿宋_GB2312"/>
                <w:b/>
                <w:bCs/>
                <w:i w:val="0"/>
                <w:iCs w:val="0"/>
                <w:color w:val="auto"/>
                <w:kern w:val="2"/>
                <w:sz w:val="22"/>
                <w:szCs w:val="22"/>
                <w:u w:val="none"/>
                <w:lang w:val="en-US" w:eastAsia="zh-CN" w:bidi="ar-SA"/>
              </w:rPr>
            </w:pPr>
            <w:r>
              <w:rPr>
                <w:rFonts w:hint="eastAsia" w:ascii="仿宋_GB2312" w:hAnsi="仿宋_GB2312" w:eastAsia="仿宋_GB2312" w:cs="仿宋_GB2312"/>
                <w:b/>
                <w:bCs/>
                <w:i w:val="0"/>
                <w:iCs w:val="0"/>
                <w:color w:val="auto"/>
                <w:kern w:val="2"/>
                <w:sz w:val="22"/>
                <w:szCs w:val="22"/>
                <w:u w:val="none"/>
                <w:lang w:val="en-US" w:eastAsia="zh-CN" w:bidi="ar-SA"/>
              </w:rPr>
              <w:t>16</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3CF1C">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对外国投资者、外商投资企业遵守《外商投资信息报告办法》情况实施监督检查</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409CAC">
            <w:pPr>
              <w:autoSpaceDN w:val="0"/>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《外商投资信息报告办法》（中华人民共和国商务部、国家市场监督管理总局 二〇一九年 第2号令）</w:t>
            </w:r>
          </w:p>
          <w:p w14:paraId="7965BD31">
            <w:pPr>
              <w:autoSpaceDN w:val="0"/>
              <w:textAlignment w:val="center"/>
              <w:rPr>
                <w:rFonts w:hint="eastAsia" w:asciiTheme="minorHAnsi" w:hAnsiTheme="minorHAnsi" w:eastAsiaTheme="minorEastAsia" w:cstheme="minorBidi"/>
                <w:kern w:val="2"/>
                <w:sz w:val="21"/>
                <w:szCs w:val="24"/>
                <w:lang w:val="en-US" w:eastAsia="zh-CN" w:bidi="ar-SA"/>
              </w:rPr>
            </w:pPr>
            <w:r>
              <w:rPr>
                <w:rFonts w:hint="eastAsia" w:ascii="仿宋_GB2312" w:hAnsi="仿宋_GB2312" w:eastAsia="仿宋_GB2312" w:cs="仿宋_GB2312"/>
                <w:color w:val="000000"/>
                <w:kern w:val="0"/>
                <w:sz w:val="22"/>
                <w:szCs w:val="22"/>
              </w:rPr>
              <w:t>第四章 监督管理第二十条　商务主管部门对外国投资者、外商投资企业遵守本办法情况实施监督检查。商务主管部门可联合有关部门，采取抽查、根据举报进行检查、根据有关部门或司法机关的建议和反映的情况进行检查，以及依职权启动检查等方式开展监督检查。第二十一条 商务主管部门采取抽查方式对外国投资者、外商投资企业履行信息报告义务的情况实施监督检查，应当随机抽取检查对象、随机选派执法检查人员，抽查事项及查处结果及时通过外商投资信息报告系统公示平台予以公示。对于未按本办法的规定进行报告，或曾有报告不实、对监督检查不予配合、拒不履行商务主管部门作出的行政处罚决定记录的外国投资者或者外商投资企业，商务主管部门可依职权对其启动检查。第二十二条 商务主管部门可采取实地核查、书面检查等方式进行监督检查，可根据需要从其他部门获取信息用于核实外国投资者或者外商投资企业报送的投资信息是否真实、准确、完整、及时。商务主管部门可依法查阅或者要求被检查人提供有关材料，被检查人应当配合检查，如实提供。</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3C141834">
            <w:pPr>
              <w:autoSpaceDN w:val="0"/>
              <w:jc w:val="center"/>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lang w:val="en-US" w:eastAsia="zh-CN"/>
              </w:rPr>
              <w:t>行政检查</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A1D4">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告知-</w:t>
            </w:r>
          </w:p>
          <w:p w14:paraId="5CAF57FE">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检查-</w:t>
            </w:r>
          </w:p>
          <w:p w14:paraId="260A7D54">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处理-</w:t>
            </w:r>
          </w:p>
          <w:p w14:paraId="563FC943">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监督</w:t>
            </w:r>
          </w:p>
          <w:p w14:paraId="0C7DA4DE">
            <w:pPr>
              <w:autoSpaceDN w:val="0"/>
              <w:jc w:val="left"/>
              <w:textAlignment w:val="center"/>
              <w:rPr>
                <w:rFonts w:hint="eastAsia" w:ascii="仿宋_GB2312" w:hAnsi="仿宋_GB2312" w:eastAsia="仿宋_GB2312" w:cs="Times New Roman"/>
                <w:color w:val="000000"/>
                <w:sz w:val="22"/>
                <w:szCs w:val="22"/>
                <w:lang w:val="en-US" w:eastAsia="zh-CN"/>
              </w:rPr>
            </w:pPr>
          </w:p>
          <w:p w14:paraId="12FA7185">
            <w:pPr>
              <w:autoSpaceDN w:val="0"/>
              <w:jc w:val="left"/>
              <w:textAlignment w:val="center"/>
              <w:rPr>
                <w:rFonts w:hint="eastAsia" w:ascii="仿宋_GB2312" w:hAnsi="仿宋_GB2312" w:eastAsia="仿宋_GB2312" w:cs="Times New Roman"/>
                <w:color w:val="000000"/>
                <w:sz w:val="22"/>
                <w:szCs w:val="22"/>
                <w:lang w:val="en-US" w:eastAsia="zh-CN"/>
              </w:rPr>
            </w:pPr>
          </w:p>
          <w:p w14:paraId="71E050E1">
            <w:pPr>
              <w:autoSpaceDN w:val="0"/>
              <w:jc w:val="left"/>
              <w:textAlignment w:val="center"/>
              <w:rPr>
                <w:rFonts w:hint="eastAsia" w:ascii="仿宋_GB2312" w:hAnsi="仿宋_GB2312" w:eastAsia="仿宋_GB2312" w:cs="Times New Roman"/>
                <w:color w:val="000000"/>
                <w:sz w:val="22"/>
                <w:szCs w:val="22"/>
                <w:lang w:val="en-US" w:eastAsia="zh-CN"/>
              </w:rPr>
            </w:pPr>
          </w:p>
          <w:p w14:paraId="3038F3C5">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85AA1">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1、商务主管部门采取抽查方式对外国投资者、外商投资企业履行信息报告义务的情况实施监督检查，应当随机抽取检查对象、随机选派执法检查人员，抽查事项及查处结果及时通过外商投资信息报告系统公示平台予以公示。</w:t>
            </w:r>
          </w:p>
          <w:p w14:paraId="0C7AFB12">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2、商务主管部门可采取实地核查、书面检查等方式进行监督检查，可根据需要从其他部门获取信息用于核实外国投资者或者外商投资企业报送的投资信息是否真实、准确、完整、及时。商务主管部门可依法查阅或者要求被检查人提供有关材料，被检查人应当配合检查，如实提供。</w:t>
            </w:r>
          </w:p>
          <w:p w14:paraId="30486C8E">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3、对于未按规定进行信息报告，或曾有报告不实、对监督检查不予配合、拒不履行商务主管部门作出的行政处罚决定记录的外国投资者或者外商投资企业，商务主管部门可依职权对其启动检查。</w:t>
            </w:r>
          </w:p>
          <w:p w14:paraId="68488ACC">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lang w:val="en-US" w:eastAsia="zh-CN"/>
              </w:rPr>
              <w:t>4、强化外国投资者或者外商投资企业信息告知情况的监督。</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4A54669C">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1、没有法律和事实依据开展政检查的；</w:t>
            </w:r>
          </w:p>
          <w:p w14:paraId="7DC6FB79">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2、违反法定程序进行检查的；</w:t>
            </w:r>
          </w:p>
          <w:p w14:paraId="7DF928B4">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3、对应当予以制止的违规行为不予制止的；</w:t>
            </w:r>
          </w:p>
          <w:p w14:paraId="490944AA">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4、违规检查，造成不良社会影响或后果的；</w:t>
            </w:r>
          </w:p>
          <w:p w14:paraId="49DD84C2">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5、在行政检查过程中发生腐败行为的；</w:t>
            </w:r>
          </w:p>
          <w:p w14:paraId="109D86E6">
            <w:pP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6、其他违反法律法规规章文件规定的行为。</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06FDB4F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县招商投资促进中心</w:t>
            </w:r>
          </w:p>
        </w:tc>
      </w:tr>
      <w:tr w14:paraId="084ECF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61076">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17</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64CA7">
            <w:pPr>
              <w:autoSpaceDN w:val="0"/>
              <w:jc w:val="left"/>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Times New Roman"/>
                <w:color w:val="000000"/>
                <w:sz w:val="22"/>
                <w:szCs w:val="22"/>
              </w:rPr>
              <w:t>对成品油零售经营企业未按规定参加年检或年检不合格行为的处理</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A8373CA">
            <w:pPr>
              <w:autoSpaceDN w:val="0"/>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Times New Roman"/>
                <w:color w:val="000000"/>
                <w:sz w:val="22"/>
                <w:szCs w:val="22"/>
              </w:rPr>
              <w:t>《河南省商务厅关于做好近期成品油市场管理工作的通知》豫商运行〔2020〕79号。成品油管理办法废止之后，在新的成品油管理规定未出台之前，按照此文件做好我省成品油市场管理工作</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60B493D5">
            <w:pPr>
              <w:autoSpaceDN w:val="0"/>
              <w:jc w:val="center"/>
              <w:textAlignment w:val="center"/>
              <w:rPr>
                <w:rFonts w:hint="default"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2"/>
                <w:sz w:val="22"/>
                <w:szCs w:val="22"/>
                <w:u w:val="none"/>
                <w:lang w:val="en-US" w:eastAsia="zh-CN" w:bidi="ar-SA"/>
              </w:rPr>
              <w:t>其他职权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33B38">
            <w:pPr>
              <w:autoSpaceDN w:val="0"/>
              <w:jc w:val="center"/>
              <w:textAlignment w:val="center"/>
              <w:rPr>
                <w:rFonts w:hint="eastAsia" w:ascii="仿宋_GB2312" w:hAnsi="仿宋_GB2312" w:eastAsia="仿宋_GB2312" w:cs="仿宋_GB2312"/>
                <w:color w:val="000000"/>
                <w:kern w:val="2"/>
                <w:sz w:val="22"/>
                <w:szCs w:val="22"/>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9D1BD">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1.受理阶段责任：在办公场所公示依法应当提交的材料；一次性告知补正材料；依法受理或不予受理（不予受理应当告知理由）。2.审查阶段责任：材料审核；根据需要征求部门意见；提出</w:t>
            </w:r>
            <w:r>
              <w:rPr>
                <w:rFonts w:hint="eastAsia" w:ascii="仿宋_GB2312" w:hAnsi="仿宋_GB2312" w:eastAsia="仿宋_GB2312" w:cs="Times New Roman"/>
                <w:color w:val="000000"/>
                <w:sz w:val="22"/>
                <w:szCs w:val="22"/>
                <w:lang w:val="en-US" w:eastAsia="zh-CN"/>
              </w:rPr>
              <w:t>审查</w:t>
            </w:r>
            <w:r>
              <w:rPr>
                <w:rFonts w:hint="eastAsia" w:ascii="仿宋_GB2312" w:hAnsi="仿宋_GB2312" w:eastAsia="仿宋_GB2312" w:cs="Times New Roman"/>
                <w:color w:val="000000"/>
                <w:sz w:val="22"/>
                <w:szCs w:val="22"/>
              </w:rPr>
              <w:t>意见。3.决定阶段责任：作出审查决定（不予批准的应当告知理由）；按时办结；法定告知。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572B93EF">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2FBF58D2">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2D80A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3AF863">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18</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67ACF">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成品油零售（加油站点）年度规划、经营企业扩建规划的确认</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7BAD958">
            <w:pPr>
              <w:autoSpaceDN w:val="0"/>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《河南省商务厅关于做好近期成品油市场管理工作的通知》豫商运行〔2020〕79号。成品油管理办法废止之后，在新的成品油管理规定未出台之前，按照此文件做好我省成品油市场管理工作</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7A73C40D">
            <w:pPr>
              <w:autoSpaceDN w:val="0"/>
              <w:jc w:val="center"/>
              <w:textAlignment w:val="center"/>
              <w:rPr>
                <w:rFonts w:hint="default"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kern w:val="2"/>
                <w:sz w:val="22"/>
                <w:szCs w:val="22"/>
                <w:lang w:val="en-US" w:eastAsia="zh-CN" w:bidi="ar-SA"/>
              </w:rPr>
              <w:t>其他职权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7727B">
            <w:pPr>
              <w:autoSpaceDN w:val="0"/>
              <w:jc w:val="center"/>
              <w:textAlignment w:val="center"/>
              <w:rPr>
                <w:rFonts w:hint="eastAsia" w:ascii="宋体" w:hAnsi="宋体" w:eastAsia="宋体" w:cs="Times New Roman"/>
                <w:color w:val="000000"/>
                <w:kern w:val="2"/>
                <w:sz w:val="22"/>
                <w:szCs w:val="22"/>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6AE0E">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1.受理阶段责任：在办公场所公示依法应当提交的材料；一次性告知补正材料；依法受理或不予受理（不予受理应当告知理由）。2.审查阶段责任：材料审核；根据需要征求部门意见；提出</w:t>
            </w:r>
            <w:r>
              <w:rPr>
                <w:rFonts w:hint="eastAsia" w:ascii="仿宋_GB2312" w:hAnsi="仿宋_GB2312" w:eastAsia="仿宋_GB2312" w:cs="Times New Roman"/>
                <w:color w:val="000000"/>
                <w:sz w:val="22"/>
                <w:szCs w:val="22"/>
                <w:lang w:val="en-US" w:eastAsia="zh-CN"/>
              </w:rPr>
              <w:t>审查</w:t>
            </w:r>
            <w:r>
              <w:rPr>
                <w:rFonts w:hint="eastAsia" w:ascii="仿宋_GB2312" w:hAnsi="仿宋_GB2312" w:eastAsia="仿宋_GB2312" w:cs="Times New Roman"/>
                <w:color w:val="000000"/>
                <w:sz w:val="22"/>
                <w:szCs w:val="22"/>
              </w:rPr>
              <w:t>意见。3.决定阶段责任：作出审查决定（不予批准的应当告知理由）；按时办结；法定告知。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7D99D19E">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6CC7D6E5">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20C4F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4CE7">
            <w:pPr>
              <w:keepNext w:val="0"/>
              <w:keepLines w:val="0"/>
              <w:widowControl/>
              <w:suppressLineNumbers w:val="0"/>
              <w:jc w:val="center"/>
              <w:textAlignment w:val="center"/>
              <w:rPr>
                <w:rFonts w:hint="default" w:ascii="仿宋_GB2312" w:hAnsi="仿宋_GB2312" w:eastAsia="仿宋_GB2312" w:cs="仿宋_GB2312"/>
                <w:b/>
                <w:bCs/>
                <w:i w:val="0"/>
                <w:iCs w:val="0"/>
                <w:color w:val="000000"/>
                <w:kern w:val="0"/>
                <w:sz w:val="22"/>
                <w:szCs w:val="22"/>
                <w:u w:val="none"/>
                <w:lang w:val="en-US" w:eastAsia="zh-CN" w:bidi="ar"/>
              </w:rPr>
            </w:pPr>
            <w:r>
              <w:rPr>
                <w:rFonts w:hint="eastAsia" w:ascii="仿宋_GB2312" w:hAnsi="仿宋_GB2312" w:eastAsia="仿宋_GB2312" w:cs="仿宋_GB2312"/>
                <w:b/>
                <w:bCs/>
                <w:i w:val="0"/>
                <w:iCs w:val="0"/>
                <w:color w:val="000000"/>
                <w:kern w:val="0"/>
                <w:sz w:val="22"/>
                <w:szCs w:val="22"/>
                <w:u w:val="none"/>
                <w:lang w:val="en-US" w:eastAsia="zh-CN" w:bidi="ar"/>
              </w:rPr>
              <w:t>19</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530B6">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成品油零售经营企业暂时歇业的初审</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A0EC94C">
            <w:pPr>
              <w:autoSpaceDN w:val="0"/>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《河南省商务厅关于做好近期成品油市场管理工作的通知》豫商运行〔2020〕79号。成品油管理办法废止之后，在新的成品油管理规定未出台之前，按照此文件做好我省成品油市场管理工作</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0D3C2E2C">
            <w:pPr>
              <w:autoSpaceDN w:val="0"/>
              <w:jc w:val="center"/>
              <w:textAlignment w:val="center"/>
              <w:rPr>
                <w:rFonts w:hint="default"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kern w:val="2"/>
                <w:sz w:val="22"/>
                <w:szCs w:val="22"/>
                <w:lang w:val="en-US" w:eastAsia="zh-CN" w:bidi="ar-SA"/>
              </w:rPr>
              <w:t>其他职权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6EE3">
            <w:pPr>
              <w:autoSpaceDN w:val="0"/>
              <w:jc w:val="center"/>
              <w:textAlignment w:val="center"/>
              <w:rPr>
                <w:rFonts w:hint="eastAsia" w:ascii="宋体" w:hAnsi="宋体" w:eastAsia="宋体" w:cs="Times New Roman"/>
                <w:color w:val="000000"/>
                <w:kern w:val="2"/>
                <w:sz w:val="22"/>
                <w:szCs w:val="22"/>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EA64E">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3679FE52">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7FBB363B">
            <w:pPr>
              <w:keepNext w:val="0"/>
              <w:keepLines w:val="0"/>
              <w:widowControl/>
              <w:suppressLineNumbers w:val="0"/>
              <w:jc w:val="center"/>
              <w:textAlignment w:val="center"/>
              <w:rPr>
                <w:rFonts w:hint="eastAsia"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05F478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53FA1">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2"/>
                <w:szCs w:val="22"/>
                <w:u w:val="none"/>
                <w:lang w:val="en-US" w:eastAsia="zh-CN"/>
              </w:rPr>
            </w:pPr>
            <w:r>
              <w:rPr>
                <w:rFonts w:hint="eastAsia" w:ascii="仿宋_GB2312" w:hAnsi="仿宋_GB2312" w:eastAsia="仿宋_GB2312" w:cs="仿宋_GB2312"/>
                <w:b/>
                <w:bCs/>
                <w:i w:val="0"/>
                <w:iCs w:val="0"/>
                <w:color w:val="auto"/>
                <w:sz w:val="22"/>
                <w:szCs w:val="22"/>
                <w:u w:val="none"/>
                <w:lang w:val="en-US" w:eastAsia="zh-CN"/>
              </w:rPr>
              <w:t>20</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5391B">
            <w:pPr>
              <w:keepNext w:val="0"/>
              <w:keepLines w:val="0"/>
              <w:widowControl/>
              <w:suppressLineNumbers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仿宋_GB2312"/>
                <w:i w:val="0"/>
                <w:iCs w:val="0"/>
                <w:color w:val="000000"/>
                <w:kern w:val="0"/>
                <w:sz w:val="22"/>
                <w:szCs w:val="22"/>
                <w:u w:val="none"/>
                <w:lang w:val="en-US" w:eastAsia="zh-CN" w:bidi="ar"/>
              </w:rPr>
              <w:t>成品油零售经营资格年检</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D4715C5">
            <w:pPr>
              <w:keepNext w:val="0"/>
              <w:keepLines w:val="0"/>
              <w:widowControl/>
              <w:suppressLineNumbers w:val="0"/>
              <w:jc w:val="left"/>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i w:val="0"/>
                <w:iCs w:val="0"/>
                <w:color w:val="000000"/>
                <w:kern w:val="0"/>
                <w:sz w:val="22"/>
                <w:szCs w:val="22"/>
                <w:u w:val="none"/>
                <w:lang w:val="en-US" w:eastAsia="zh-CN" w:bidi="ar"/>
              </w:rPr>
              <w:t>《河南省商务厅关于做好近期成品油市场管理工作的通知》豫商运行〔2020〕88号。成品油管理办法废止之后，在新的成品油管理规定未出台之前，按照此文件做好我省成品油市场管理工作</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7A1373A1">
            <w:pPr>
              <w:jc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其他职权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7AA80">
            <w:pPr>
              <w:autoSpaceDN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8A2FA">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初审</w:t>
            </w:r>
            <w:r>
              <w:rPr>
                <w:rFonts w:hint="eastAsia" w:ascii="仿宋_GB2312" w:hAnsi="仿宋_GB2312" w:eastAsia="仿宋_GB2312" w:cs="Times New Roman"/>
                <w:color w:val="000000"/>
                <w:sz w:val="22"/>
                <w:szCs w:val="22"/>
              </w:rPr>
              <w:t>意见。3.决定阶段责任：作出审查决定（不予批准的应当告知理由）；按时办结；法定告知。 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069ED186">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对符合法定条件的行政许可申请不予受理的；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在受理、审查、决定行政许可过程中,未向申请人、利害关系人履行法定告知义务的；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未依法说明不受理行政许可申请或者不予行政许可的理由的；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1CCE2158">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商务局业 务股</w:t>
            </w:r>
          </w:p>
        </w:tc>
      </w:tr>
      <w:tr w14:paraId="21296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8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1E31E">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2"/>
                <w:szCs w:val="22"/>
                <w:u w:val="none"/>
                <w:lang w:val="en-US" w:eastAsia="zh-CN"/>
              </w:rPr>
            </w:pPr>
            <w:r>
              <w:rPr>
                <w:rFonts w:hint="eastAsia" w:ascii="仿宋_GB2312" w:hAnsi="仿宋_GB2312" w:eastAsia="仿宋_GB2312" w:cs="仿宋_GB2312"/>
                <w:b/>
                <w:bCs/>
                <w:i w:val="0"/>
                <w:iCs w:val="0"/>
                <w:color w:val="auto"/>
                <w:sz w:val="22"/>
                <w:szCs w:val="22"/>
                <w:u w:val="none"/>
                <w:lang w:val="en-US" w:eastAsia="zh-CN"/>
              </w:rPr>
              <w:t>21</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C99D5">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新建预拌混凝土、预拌砂浆生产项目、散装水泥专用车辆备案</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88B8F0B">
            <w:pPr>
              <w:autoSpaceDN w:val="0"/>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仿宋_GB2312"/>
                <w:color w:val="000000"/>
                <w:kern w:val="0"/>
                <w:sz w:val="22"/>
                <w:szCs w:val="22"/>
              </w:rPr>
              <w:t>1、《河南省发展散装水泥管理规定》（省政府令第121号）第八条第二款：新建预拌混凝土、预拌砂浆生产项目应符合散装水泥发展规划，并报当地散装水泥管理机构备案。第十五条第二款：运送散装水泥、预拌混凝土、预拌砂浆的专用车辆应当到当地散装水泥管理机构备案；需要进入城市市区禁行、禁停路段的，由当地散装水泥管理机构统一到公安、交通管理部门办理通行手续，有关部门应当及时办理。</w:t>
            </w:r>
            <w:r>
              <w:rPr>
                <w:rFonts w:hint="eastAsia" w:ascii="仿宋_GB2312" w:hAnsi="仿宋_GB2312" w:eastAsia="仿宋_GB2312" w:cs="仿宋_GB2312"/>
                <w:color w:val="000000"/>
                <w:kern w:val="0"/>
                <w:sz w:val="22"/>
                <w:szCs w:val="22"/>
              </w:rPr>
              <w:br w:type="textWrapping"/>
            </w:r>
            <w:r>
              <w:rPr>
                <w:rFonts w:hint="eastAsia" w:ascii="仿宋_GB2312" w:hAnsi="仿宋_GB2312" w:eastAsia="仿宋_GB2312" w:cs="仿宋_GB2312"/>
                <w:color w:val="000000"/>
                <w:kern w:val="0"/>
                <w:sz w:val="22"/>
                <w:szCs w:val="22"/>
              </w:rPr>
              <w:t>2、《南阳市预拌砂浆管理办法》（宛政[2016]44号）第七条：“市公安交管、交通、散装水泥办公室要把预拌砂浆运输、搅拌、泵送车辆纳入散装水泥等专用车辆管理范围，专用车辆要安装GPS卫星定位定位系统并且进入散装水泥办公室专用车辆服务平台。预拌砂浆专用车辆应当到市散装水泥办公室登记备案……”</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238D863A">
            <w:pPr>
              <w:autoSpaceDN w:val="0"/>
              <w:jc w:val="center"/>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其他职权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0ACFD">
            <w:pPr>
              <w:keepNext w:val="0"/>
              <w:keepLines w:val="0"/>
              <w:widowControl/>
              <w:suppressLineNumbers w:val="0"/>
              <w:jc w:val="center"/>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受理-告知-审查</w:t>
            </w:r>
          </w:p>
          <w:p w14:paraId="549627ED">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-备案-送达</w:t>
            </w: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77528">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1、</w:t>
            </w:r>
            <w:r>
              <w:rPr>
                <w:rFonts w:hint="eastAsia" w:ascii="仿宋_GB2312" w:hAnsi="仿宋_GB2312" w:eastAsia="仿宋_GB2312" w:cs="Times New Roman"/>
                <w:color w:val="000000"/>
                <w:sz w:val="22"/>
                <w:szCs w:val="22"/>
              </w:rPr>
              <w:t>新建预拌混凝土、预拌砂浆生产项目，运送散装水泥、预拌混凝土、预拌砂浆的专用车辆申请备案。</w:t>
            </w:r>
          </w:p>
          <w:p w14:paraId="69FE6665">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2、</w:t>
            </w:r>
            <w:r>
              <w:rPr>
                <w:rFonts w:hint="eastAsia" w:ascii="仿宋_GB2312" w:hAnsi="仿宋_GB2312" w:eastAsia="仿宋_GB2312" w:cs="Times New Roman"/>
                <w:color w:val="000000"/>
                <w:sz w:val="22"/>
                <w:szCs w:val="22"/>
              </w:rPr>
              <w:t>一次性告知当事人申请备案所需材料清单，相关法律法规规章文件规定的有关内容。</w:t>
            </w:r>
          </w:p>
          <w:p w14:paraId="54C1744B">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3、</w:t>
            </w:r>
            <w:r>
              <w:rPr>
                <w:rFonts w:hint="eastAsia" w:ascii="仿宋_GB2312" w:hAnsi="仿宋_GB2312" w:eastAsia="仿宋_GB2312" w:cs="Times New Roman"/>
                <w:color w:val="000000"/>
                <w:sz w:val="22"/>
                <w:szCs w:val="22"/>
              </w:rPr>
              <w:t>对企业上报的材料进行审核，并进行现场考察。</w:t>
            </w:r>
          </w:p>
          <w:p w14:paraId="16F552D3">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lang w:val="en-US" w:eastAsia="zh-CN"/>
              </w:rPr>
              <w:t>4、</w:t>
            </w:r>
            <w:r>
              <w:rPr>
                <w:rFonts w:hint="eastAsia" w:ascii="仿宋_GB2312" w:hAnsi="仿宋_GB2312" w:eastAsia="仿宋_GB2312" w:cs="Times New Roman"/>
                <w:color w:val="000000"/>
                <w:sz w:val="22"/>
                <w:szCs w:val="22"/>
              </w:rPr>
              <w:t>经审核符合要求的，进行备案登记，并报至省散装水泥发展中心。</w:t>
            </w:r>
          </w:p>
          <w:p w14:paraId="30B5D4B7">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lang w:val="en-US" w:eastAsia="zh-CN"/>
              </w:rPr>
              <w:t>5、</w:t>
            </w:r>
            <w:r>
              <w:rPr>
                <w:rFonts w:hint="eastAsia" w:ascii="仿宋_GB2312" w:hAnsi="仿宋_GB2312" w:eastAsia="仿宋_GB2312" w:cs="Times New Roman"/>
                <w:color w:val="000000"/>
                <w:sz w:val="22"/>
                <w:szCs w:val="22"/>
              </w:rPr>
              <w:t>新建预拌砂浆生产项目经省散装水泥发展中心综合评价考核通过后，送达备案证书。</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11650246">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w:t>
            </w:r>
            <w:r>
              <w:rPr>
                <w:rFonts w:hint="eastAsia" w:ascii="仿宋_GB2312" w:hAnsi="仿宋_GB2312" w:eastAsia="仿宋_GB2312" w:cs="仿宋_GB2312"/>
                <w:i w:val="0"/>
                <w:iCs w:val="0"/>
                <w:color w:val="000000"/>
                <w:sz w:val="22"/>
                <w:szCs w:val="22"/>
                <w:u w:val="none"/>
                <w:lang w:val="en-US" w:eastAsia="zh-CN"/>
              </w:rPr>
              <w:t>备案</w:t>
            </w:r>
            <w:r>
              <w:rPr>
                <w:rFonts w:hint="eastAsia" w:ascii="仿宋_GB2312" w:hAnsi="仿宋_GB2312" w:eastAsia="仿宋_GB2312" w:cs="仿宋_GB2312"/>
                <w:i w:val="0"/>
                <w:iCs w:val="0"/>
                <w:color w:val="000000"/>
                <w:sz w:val="22"/>
                <w:szCs w:val="22"/>
                <w:u w:val="none"/>
              </w:rPr>
              <w:t>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w:t>
            </w:r>
            <w:r>
              <w:rPr>
                <w:rFonts w:hint="eastAsia" w:ascii="仿宋_GB2312" w:hAnsi="仿宋_GB2312" w:eastAsia="仿宋_GB2312" w:cs="仿宋_GB2312"/>
                <w:i w:val="0"/>
                <w:iCs w:val="0"/>
                <w:color w:val="000000"/>
                <w:sz w:val="22"/>
                <w:szCs w:val="22"/>
                <w:u w:val="none"/>
                <w:lang w:val="en-US" w:eastAsia="zh-CN"/>
              </w:rPr>
              <w:t>备案</w:t>
            </w:r>
            <w:r>
              <w:rPr>
                <w:rFonts w:hint="eastAsia" w:ascii="仿宋_GB2312" w:hAnsi="仿宋_GB2312" w:eastAsia="仿宋_GB2312" w:cs="仿宋_GB2312"/>
                <w:i w:val="0"/>
                <w:iCs w:val="0"/>
                <w:color w:val="000000"/>
                <w:sz w:val="22"/>
                <w:szCs w:val="22"/>
                <w:u w:val="none"/>
              </w:rPr>
              <w:t>申请或者不予</w:t>
            </w:r>
            <w:r>
              <w:rPr>
                <w:rFonts w:hint="eastAsia" w:ascii="仿宋_GB2312" w:hAnsi="仿宋_GB2312" w:eastAsia="仿宋_GB2312" w:cs="仿宋_GB2312"/>
                <w:i w:val="0"/>
                <w:iCs w:val="0"/>
                <w:color w:val="000000"/>
                <w:sz w:val="22"/>
                <w:szCs w:val="22"/>
                <w:u w:val="none"/>
                <w:lang w:val="en-US" w:eastAsia="zh-CN"/>
              </w:rPr>
              <w:t>备案</w:t>
            </w:r>
            <w:r>
              <w:rPr>
                <w:rFonts w:hint="eastAsia" w:ascii="仿宋_GB2312" w:hAnsi="仿宋_GB2312" w:eastAsia="仿宋_GB2312" w:cs="仿宋_GB2312"/>
                <w:i w:val="0"/>
                <w:iCs w:val="0"/>
                <w:color w:val="000000"/>
                <w:sz w:val="22"/>
                <w:szCs w:val="22"/>
                <w:u w:val="none"/>
              </w:rPr>
              <w:t>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0E594A36">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065CC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17"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8E22">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2"/>
                <w:szCs w:val="22"/>
                <w:u w:val="none"/>
                <w:lang w:val="en-US" w:eastAsia="zh-CN"/>
              </w:rPr>
            </w:pPr>
            <w:r>
              <w:rPr>
                <w:rFonts w:hint="eastAsia" w:ascii="仿宋_GB2312" w:hAnsi="仿宋_GB2312" w:eastAsia="仿宋_GB2312" w:cs="仿宋_GB2312"/>
                <w:b/>
                <w:bCs/>
                <w:i w:val="0"/>
                <w:iCs w:val="0"/>
                <w:color w:val="auto"/>
                <w:sz w:val="22"/>
                <w:szCs w:val="22"/>
                <w:u w:val="none"/>
                <w:lang w:val="en-US" w:eastAsia="zh-CN"/>
              </w:rPr>
              <w:t>22</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0E90">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单用途商业预付卡备案登记（规模发卡企业、集团发卡企业和品牌发卡企业）</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AF2A95F">
            <w:pPr>
              <w:autoSpaceDN w:val="0"/>
              <w:textAlignment w:val="center"/>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仿宋_GB2312"/>
                <w:color w:val="000000"/>
                <w:kern w:val="0"/>
                <w:sz w:val="22"/>
                <w:szCs w:val="22"/>
              </w:rPr>
              <w:t>《</w:t>
            </w:r>
            <w:r>
              <w:rPr>
                <w:rFonts w:hint="eastAsia" w:ascii="仿宋_GB2312" w:hAnsi="仿宋_GB2312" w:eastAsia="仿宋_GB2312" w:cs="仿宋_GB2312"/>
                <w:color w:val="000000"/>
                <w:spacing w:val="-6"/>
                <w:kern w:val="0"/>
                <w:sz w:val="22"/>
                <w:szCs w:val="22"/>
              </w:rPr>
              <w:t>单用途商业预付卡管理办法（试行）》（商务部令2012年第9号）第七条　发卡企业应在开展单用途卡业务之日起30日内按照下列规定办理备案：（一）集团发卡企业和品牌发卡企业向其工商登记注册地省、自治区、直辖市人民政府商务主管部门备案；（二）规模发卡企业向其工商登记注册地设区的市人民政府商务主管部门备案；（三）其他发卡企业向其工商登记注册地县（市、区）人民政府商务主管部门备案。第八条　发卡企业应向备案机关提交下列材料：（一）《单用途卡发卡企业备案表》；（二）《企业法人营业执照》（副本）复印件；（三）组织机构代码证复印件。发卡企业为外商投资企业的，还应提交外商投资企业批准证书复印件。《单用途卡发卡企业备案表》可以从备案机关处领取或通过商务部政府网站（www.mofcom.gov.cn）下载（格式见附件2）。第九条　规模发卡企业除提交本办法第八条规定的材料外，还应向备案机关提交下列材料：（一）经审计机构审计的上一年度财务报表（加盖公章），但工商注册登记不足一年的规模发卡企业除外；（二）实体卡样本（正反面）、虚拟卡记载的信息样本；（三）单用途卡业务、资金管理制度；（四）单用途卡购卡章程、协议；（五）资金存管账户信息和资金存管协议。第十条　集团发卡企业和品牌发卡企业除提交本办法第八条规定的材料外，还应向备案机关提交下列材料：（一）经审计机构审计的上一年度财务报表及合并财务报表（加盖公章），但工商注册登记不足一年的集团发卡企业、品牌发卡企业除外。（二）实体卡样本（正反面）、虚拟卡记载的信息样本。（三）单用途卡业务、资金管理制度。（四）单用途卡购卡章程、协议。（五）资金存管账户信息和资金存管协议。（六）与售卡企业签订的协议文本及售卡企业清单。（七）集团发卡企业提交集团股权关系说明；品牌发卡企业提交企业标志、注册商标所有权或排他使用权证明。第十一条　备案机关对已备案的发卡企业予以编号，并在商务部和备案机关指定的媒体上公告，提供公众查询服务。第十二条　备案事项发生变更、发卡企业类型改变或单用途卡业务终止时，发卡企业应在变化之日起15个工作日内向备案机关办理变更、注销手续。</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29DFDEE2">
            <w:pPr>
              <w:autoSpaceDN w:val="0"/>
              <w:jc w:val="center"/>
              <w:textAlignment w:val="center"/>
              <w:rPr>
                <w:rFonts w:hint="eastAsia" w:ascii="仿宋_GB2312" w:hAnsi="仿宋_GB2312" w:eastAsia="仿宋_GB2312" w:cs="Times New Roman"/>
                <w:color w:val="000000"/>
                <w:kern w:val="2"/>
                <w:sz w:val="28"/>
                <w:szCs w:val="28"/>
                <w:lang w:val="en-US" w:eastAsia="zh-CN" w:bidi="ar-SA"/>
              </w:rPr>
            </w:pPr>
            <w:r>
              <w:rPr>
                <w:rFonts w:hint="eastAsia" w:ascii="仿宋_GB2312" w:hAnsi="仿宋_GB2312" w:eastAsia="仿宋_GB2312" w:cs="Times New Roman"/>
                <w:color w:val="000000"/>
                <w:sz w:val="22"/>
                <w:szCs w:val="22"/>
                <w:lang w:val="en-US" w:eastAsia="zh-CN"/>
              </w:rPr>
              <w:t>行政许可</w:t>
            </w:r>
          </w:p>
        </w:tc>
        <w:tc>
          <w:tcPr>
            <w:tcW w:w="1124" w:type="dxa"/>
            <w:tcBorders>
              <w:top w:val="single" w:color="000000" w:sz="4" w:space="0"/>
              <w:left w:val="single" w:color="000000" w:sz="4" w:space="0"/>
              <w:bottom w:val="nil"/>
              <w:right w:val="single" w:color="000000" w:sz="4" w:space="0"/>
            </w:tcBorders>
            <w:shd w:val="clear" w:color="auto" w:fill="auto"/>
            <w:vAlign w:val="center"/>
          </w:tcPr>
          <w:p w14:paraId="59AD6D49">
            <w:pPr>
              <w:autoSpaceDN w:val="0"/>
              <w:jc w:val="center"/>
              <w:textAlignment w:val="center"/>
              <w:rPr>
                <w:rFonts w:hint="eastAsia" w:ascii="宋体" w:hAnsi="宋体" w:eastAsia="宋体" w:cs="Times New Roman"/>
                <w:color w:val="000000"/>
                <w:kern w:val="2"/>
                <w:sz w:val="22"/>
                <w:szCs w:val="22"/>
                <w:lang w:val="en-US" w:eastAsia="zh-CN" w:bidi="ar-SA"/>
              </w:rPr>
            </w:pPr>
            <w:r>
              <w:rPr>
                <w:rFonts w:hint="eastAsia" w:ascii="仿宋_GB2312" w:hAnsi="仿宋_GB2312" w:eastAsia="仿宋_GB2312" w:cs="仿宋_GB2312"/>
                <w:color w:val="000000"/>
                <w:sz w:val="22"/>
                <w:szCs w:val="22"/>
                <w:lang w:val="en-US" w:eastAsia="zh-CN"/>
              </w:rPr>
              <w:t>申请-受理-审查-审批-告知结果及取证</w:t>
            </w:r>
          </w:p>
        </w:tc>
        <w:tc>
          <w:tcPr>
            <w:tcW w:w="3226" w:type="dxa"/>
            <w:tcBorders>
              <w:top w:val="single" w:color="000000" w:sz="4" w:space="0"/>
              <w:left w:val="single" w:color="000000" w:sz="4" w:space="0"/>
              <w:bottom w:val="nil"/>
              <w:right w:val="single" w:color="000000" w:sz="4" w:space="0"/>
            </w:tcBorders>
            <w:shd w:val="clear" w:color="auto" w:fill="auto"/>
            <w:noWrap/>
            <w:vAlign w:val="center"/>
          </w:tcPr>
          <w:p w14:paraId="5C4A62F3">
            <w:pPr>
              <w:autoSpaceDN w:val="0"/>
              <w:jc w:val="left"/>
              <w:textAlignment w:val="center"/>
              <w:rPr>
                <w:rFonts w:hint="eastAsia" w:ascii="仿宋_GB2312" w:hAnsi="仿宋_GB2312" w:eastAsia="仿宋_GB2312" w:cs="Times New Roman"/>
                <w:color w:val="000000"/>
                <w:kern w:val="2"/>
                <w:sz w:val="22"/>
                <w:szCs w:val="22"/>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 2.审查阶段责任：材料审核；根据需要征求部门意见；提出</w:t>
            </w:r>
            <w:r>
              <w:rPr>
                <w:rFonts w:hint="eastAsia" w:ascii="仿宋_GB2312" w:hAnsi="仿宋_GB2312" w:eastAsia="仿宋_GB2312" w:cs="Times New Roman"/>
                <w:color w:val="000000"/>
                <w:sz w:val="22"/>
                <w:szCs w:val="22"/>
                <w:lang w:val="en-US" w:eastAsia="zh-CN"/>
              </w:rPr>
              <w:t>审查</w:t>
            </w:r>
            <w:r>
              <w:rPr>
                <w:rFonts w:hint="eastAsia" w:ascii="仿宋_GB2312" w:hAnsi="仿宋_GB2312" w:eastAsia="仿宋_GB2312" w:cs="Times New Roman"/>
                <w:color w:val="000000"/>
                <w:sz w:val="22"/>
                <w:szCs w:val="22"/>
              </w:rPr>
              <w:t>意见。3.决定阶段责任：作出审查决定（不予批准的应当告知理由）；按时办结；法定告知。 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11A3DDF4">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w:t>
            </w:r>
            <w:r>
              <w:rPr>
                <w:rFonts w:hint="eastAsia" w:ascii="仿宋_GB2312" w:hAnsi="仿宋_GB2312" w:eastAsia="仿宋_GB2312" w:cs="仿宋_GB2312"/>
                <w:i w:val="0"/>
                <w:iCs w:val="0"/>
                <w:color w:val="000000"/>
                <w:sz w:val="22"/>
                <w:szCs w:val="22"/>
                <w:u w:val="none"/>
                <w:lang w:val="en-US" w:eastAsia="zh-CN"/>
              </w:rPr>
              <w:t>备案</w:t>
            </w:r>
            <w:r>
              <w:rPr>
                <w:rFonts w:hint="eastAsia" w:ascii="仿宋_GB2312" w:hAnsi="仿宋_GB2312" w:eastAsia="仿宋_GB2312" w:cs="仿宋_GB2312"/>
                <w:i w:val="0"/>
                <w:iCs w:val="0"/>
                <w:color w:val="000000"/>
                <w:sz w:val="22"/>
                <w:szCs w:val="22"/>
                <w:u w:val="none"/>
              </w:rPr>
              <w:t>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w:t>
            </w:r>
            <w:r>
              <w:rPr>
                <w:rFonts w:hint="eastAsia" w:ascii="仿宋_GB2312" w:hAnsi="仿宋_GB2312" w:eastAsia="仿宋_GB2312" w:cs="仿宋_GB2312"/>
                <w:i w:val="0"/>
                <w:iCs w:val="0"/>
                <w:color w:val="000000"/>
                <w:sz w:val="22"/>
                <w:szCs w:val="22"/>
                <w:u w:val="none"/>
                <w:lang w:val="en-US" w:eastAsia="zh-CN"/>
              </w:rPr>
              <w:t>备案</w:t>
            </w:r>
            <w:r>
              <w:rPr>
                <w:rFonts w:hint="eastAsia" w:ascii="仿宋_GB2312" w:hAnsi="仿宋_GB2312" w:eastAsia="仿宋_GB2312" w:cs="仿宋_GB2312"/>
                <w:i w:val="0"/>
                <w:iCs w:val="0"/>
                <w:color w:val="000000"/>
                <w:sz w:val="22"/>
                <w:szCs w:val="22"/>
                <w:u w:val="none"/>
              </w:rPr>
              <w:t>申请或者不予</w:t>
            </w:r>
            <w:r>
              <w:rPr>
                <w:rFonts w:hint="eastAsia" w:ascii="仿宋_GB2312" w:hAnsi="仿宋_GB2312" w:eastAsia="仿宋_GB2312" w:cs="仿宋_GB2312"/>
                <w:i w:val="0"/>
                <w:iCs w:val="0"/>
                <w:color w:val="000000"/>
                <w:sz w:val="22"/>
                <w:szCs w:val="22"/>
                <w:u w:val="none"/>
                <w:lang w:val="en-US" w:eastAsia="zh-CN"/>
              </w:rPr>
              <w:t>备案</w:t>
            </w:r>
            <w:r>
              <w:rPr>
                <w:rFonts w:hint="eastAsia" w:ascii="仿宋_GB2312" w:hAnsi="仿宋_GB2312" w:eastAsia="仿宋_GB2312" w:cs="仿宋_GB2312"/>
                <w:i w:val="0"/>
                <w:iCs w:val="0"/>
                <w:color w:val="000000"/>
                <w:sz w:val="22"/>
                <w:szCs w:val="22"/>
                <w:u w:val="none"/>
              </w:rPr>
              <w:t>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36B98285">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667E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8"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D1143">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2"/>
                <w:szCs w:val="22"/>
                <w:u w:val="none"/>
                <w:lang w:val="en-US" w:eastAsia="zh-CN"/>
              </w:rPr>
            </w:pPr>
            <w:r>
              <w:rPr>
                <w:rFonts w:hint="eastAsia" w:ascii="仿宋_GB2312" w:hAnsi="仿宋_GB2312" w:eastAsia="仿宋_GB2312" w:cs="仿宋_GB2312"/>
                <w:b/>
                <w:bCs/>
                <w:i w:val="0"/>
                <w:iCs w:val="0"/>
                <w:color w:val="auto"/>
                <w:sz w:val="22"/>
                <w:szCs w:val="22"/>
                <w:u w:val="none"/>
                <w:lang w:val="en-US" w:eastAsia="zh-CN"/>
              </w:rPr>
              <w:t>23</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C46409">
            <w:pPr>
              <w:keepNext w:val="0"/>
              <w:keepLines w:val="0"/>
              <w:widowControl/>
              <w:suppressLineNumbers w:val="0"/>
              <w:jc w:val="both"/>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二手车交易市场及经营主体备案</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80A6EED">
            <w:pPr>
              <w:jc w:val="both"/>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rPr>
              <w:t>《二手车流通管理办法》（2017修正）第三十条 建立二手车交易市场经营者和二手车经营主体备案制度。凡经工商行政管理部门依法登记，取得营业执照的二手车交易市场经营者和二手车经营主体，应当自取得营业执照之日起2个月内向省级商务主管部门备案。</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5109C09A">
            <w:pPr>
              <w:jc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sz w:val="22"/>
                <w:szCs w:val="22"/>
                <w:u w:val="none"/>
                <w:lang w:val="en-US" w:eastAsia="zh-CN"/>
              </w:rPr>
              <w:t>其他职权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3EA4C">
            <w:pPr>
              <w:keepNext w:val="0"/>
              <w:keepLines w:val="0"/>
              <w:widowControl/>
              <w:suppressLineNumbers w:val="0"/>
              <w:jc w:val="center"/>
              <w:textAlignment w:val="center"/>
              <w:rPr>
                <w:rFonts w:hint="eastAsia" w:ascii="仿宋_GB2312" w:hAnsi="仿宋_GB2312" w:eastAsia="仿宋_GB2312" w:cs="仿宋_GB2312"/>
                <w:i w:val="0"/>
                <w:iCs w:val="0"/>
                <w:color w:val="auto"/>
                <w:kern w:val="2"/>
                <w:sz w:val="22"/>
                <w:szCs w:val="22"/>
                <w:u w:val="none"/>
                <w:lang w:val="en-US" w:eastAsia="zh-CN" w:bidi="ar-SA"/>
              </w:rPr>
            </w:pPr>
            <w:r>
              <w:rPr>
                <w:rFonts w:hint="eastAsia" w:ascii="仿宋_GB2312" w:hAnsi="仿宋_GB2312" w:eastAsia="仿宋_GB2312" w:cs="仿宋_GB2312"/>
                <w:i w:val="0"/>
                <w:iCs w:val="0"/>
                <w:color w:val="auto"/>
                <w:kern w:val="0"/>
                <w:sz w:val="22"/>
                <w:szCs w:val="22"/>
                <w:u w:val="none"/>
                <w:lang w:val="en-US" w:eastAsia="zh-CN" w:bidi="ar"/>
              </w:rPr>
              <w:t>受理、审核、决定、送达</w:t>
            </w: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33CBC">
            <w:pPr>
              <w:autoSpaceDN w:val="0"/>
              <w:jc w:val="left"/>
              <w:textAlignment w:val="cente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Times New Roman"/>
                <w:color w:val="000000"/>
                <w:sz w:val="22"/>
                <w:szCs w:val="22"/>
              </w:rPr>
              <w:t>1.受理阶段责任：在办公场所公示依法应当提交的材料；一次性告知补正材料；依法受理或不予受理（不予受理应当告知理由）。2.审查阶段责任：材料审核；根据需要征求部门意见；提出</w:t>
            </w:r>
            <w:r>
              <w:rPr>
                <w:rFonts w:hint="eastAsia" w:ascii="仿宋_GB2312" w:hAnsi="仿宋_GB2312" w:eastAsia="仿宋_GB2312" w:cs="Times New Roman"/>
                <w:color w:val="000000"/>
                <w:sz w:val="22"/>
                <w:szCs w:val="22"/>
                <w:lang w:val="en-US" w:eastAsia="zh-CN"/>
              </w:rPr>
              <w:t>审查</w:t>
            </w:r>
            <w:r>
              <w:rPr>
                <w:rFonts w:hint="eastAsia" w:ascii="仿宋_GB2312" w:hAnsi="仿宋_GB2312" w:eastAsia="仿宋_GB2312" w:cs="Times New Roman"/>
                <w:color w:val="000000"/>
                <w:sz w:val="22"/>
                <w:szCs w:val="22"/>
              </w:rPr>
              <w:t>意见。3.决定阶段责任：作出审查决定（不予批准的应当告知理由）；按时办结；法定告知。4.送达阶段责任：制发相关文书；信息公开。5.事后监管责任：加强日常监督检查。6.其他法律法规规章文件规定应承担的责任。</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32CDC480">
            <w:pPr>
              <w:rPr>
                <w:rFonts w:hint="eastAsia" w:ascii="仿宋" w:hAnsi="仿宋" w:eastAsia="仿宋" w:cs="仿宋"/>
                <w:i w:val="0"/>
                <w:iCs w:val="0"/>
                <w:color w:val="000000"/>
                <w:kern w:val="2"/>
                <w:sz w:val="20"/>
                <w:szCs w:val="20"/>
                <w:u w:val="none"/>
                <w:lang w:val="en-US" w:eastAsia="zh-CN" w:bidi="ar-SA"/>
              </w:rPr>
            </w:pPr>
            <w:r>
              <w:rPr>
                <w:rFonts w:hint="eastAsia" w:ascii="仿宋_GB2312" w:hAnsi="仿宋_GB2312" w:eastAsia="仿宋_GB2312" w:cs="仿宋_GB2312"/>
                <w:i w:val="0"/>
                <w:iCs w:val="0"/>
                <w:color w:val="000000"/>
                <w:sz w:val="22"/>
                <w:szCs w:val="22"/>
                <w:u w:val="none"/>
                <w:lang w:val="en-US" w:eastAsia="zh-CN"/>
              </w:rPr>
              <w:t>1、</w:t>
            </w:r>
            <w:r>
              <w:rPr>
                <w:rFonts w:hint="eastAsia" w:ascii="仿宋_GB2312" w:hAnsi="仿宋_GB2312" w:eastAsia="仿宋_GB2312" w:cs="仿宋_GB2312"/>
                <w:i w:val="0"/>
                <w:iCs w:val="0"/>
                <w:color w:val="000000"/>
                <w:sz w:val="22"/>
                <w:szCs w:val="22"/>
                <w:u w:val="none"/>
              </w:rPr>
              <w:t>对符合法定条件的</w:t>
            </w:r>
            <w:r>
              <w:rPr>
                <w:rFonts w:hint="eastAsia" w:ascii="仿宋_GB2312" w:hAnsi="仿宋_GB2312" w:eastAsia="仿宋_GB2312" w:cs="仿宋_GB2312"/>
                <w:i w:val="0"/>
                <w:iCs w:val="0"/>
                <w:color w:val="000000"/>
                <w:sz w:val="22"/>
                <w:szCs w:val="22"/>
                <w:u w:val="none"/>
                <w:lang w:val="en-US" w:eastAsia="zh-CN"/>
              </w:rPr>
              <w:t>备案</w:t>
            </w:r>
            <w:r>
              <w:rPr>
                <w:rFonts w:hint="eastAsia" w:ascii="仿宋_GB2312" w:hAnsi="仿宋_GB2312" w:eastAsia="仿宋_GB2312" w:cs="仿宋_GB2312"/>
                <w:i w:val="0"/>
                <w:iCs w:val="0"/>
                <w:color w:val="000000"/>
                <w:sz w:val="22"/>
                <w:szCs w:val="22"/>
                <w:u w:val="none"/>
              </w:rPr>
              <w:t>申请不予受理的；</w:t>
            </w:r>
            <w:r>
              <w:rPr>
                <w:rFonts w:hint="eastAsia" w:ascii="仿宋_GB2312" w:hAnsi="仿宋_GB2312" w:eastAsia="仿宋_GB2312" w:cs="仿宋_GB2312"/>
                <w:i w:val="0"/>
                <w:iCs w:val="0"/>
                <w:color w:val="000000"/>
                <w:sz w:val="22"/>
                <w:szCs w:val="22"/>
                <w:u w:val="none"/>
                <w:lang w:val="en-US" w:eastAsia="zh-CN"/>
              </w:rPr>
              <w:t>2、</w:t>
            </w:r>
            <w:r>
              <w:rPr>
                <w:rFonts w:hint="eastAsia" w:ascii="仿宋_GB2312" w:hAnsi="仿宋_GB2312" w:eastAsia="仿宋_GB2312" w:cs="仿宋_GB2312"/>
                <w:i w:val="0"/>
                <w:iCs w:val="0"/>
                <w:color w:val="000000"/>
                <w:sz w:val="22"/>
                <w:szCs w:val="22"/>
                <w:u w:val="none"/>
              </w:rPr>
              <w:t>不在办公场所公示依法应当公示的材料的；</w:t>
            </w:r>
            <w:r>
              <w:rPr>
                <w:rFonts w:hint="eastAsia" w:ascii="仿宋_GB2312" w:hAnsi="仿宋_GB2312" w:eastAsia="仿宋_GB2312" w:cs="仿宋_GB2312"/>
                <w:i w:val="0"/>
                <w:iCs w:val="0"/>
                <w:color w:val="000000"/>
                <w:sz w:val="22"/>
                <w:szCs w:val="22"/>
                <w:u w:val="none"/>
                <w:lang w:val="en-US" w:eastAsia="zh-CN"/>
              </w:rPr>
              <w:t>3、</w:t>
            </w:r>
            <w:r>
              <w:rPr>
                <w:rFonts w:hint="eastAsia" w:ascii="仿宋_GB2312" w:hAnsi="仿宋_GB2312" w:eastAsia="仿宋_GB2312" w:cs="仿宋_GB2312"/>
                <w:i w:val="0"/>
                <w:iCs w:val="0"/>
                <w:color w:val="000000"/>
                <w:sz w:val="22"/>
                <w:szCs w:val="22"/>
                <w:u w:val="none"/>
              </w:rPr>
              <w:t>在受理、审查、决定过程中,未向申请人、利害关系人履行法定告知义务的；</w:t>
            </w:r>
            <w:r>
              <w:rPr>
                <w:rFonts w:hint="eastAsia" w:ascii="仿宋_GB2312" w:hAnsi="仿宋_GB2312" w:eastAsia="仿宋_GB2312" w:cs="仿宋_GB2312"/>
                <w:i w:val="0"/>
                <w:iCs w:val="0"/>
                <w:color w:val="000000"/>
                <w:sz w:val="22"/>
                <w:szCs w:val="22"/>
                <w:u w:val="none"/>
                <w:lang w:val="en-US" w:eastAsia="zh-CN"/>
              </w:rPr>
              <w:t>4、</w:t>
            </w:r>
            <w:r>
              <w:rPr>
                <w:rFonts w:hint="eastAsia" w:ascii="仿宋_GB2312" w:hAnsi="仿宋_GB2312" w:eastAsia="仿宋_GB2312" w:cs="仿宋_GB2312"/>
                <w:i w:val="0"/>
                <w:iCs w:val="0"/>
                <w:color w:val="000000"/>
                <w:sz w:val="22"/>
                <w:szCs w:val="22"/>
                <w:u w:val="none"/>
              </w:rPr>
              <w:t>申请人提交的申请材料不齐全、不符合法定形式,不一次告知申请人必须补正的全部内容的；</w:t>
            </w:r>
            <w:r>
              <w:rPr>
                <w:rFonts w:hint="eastAsia" w:ascii="仿宋_GB2312" w:hAnsi="仿宋_GB2312" w:eastAsia="仿宋_GB2312" w:cs="仿宋_GB2312"/>
                <w:i w:val="0"/>
                <w:iCs w:val="0"/>
                <w:color w:val="000000"/>
                <w:sz w:val="22"/>
                <w:szCs w:val="22"/>
                <w:u w:val="none"/>
                <w:lang w:val="en-US" w:eastAsia="zh-CN"/>
              </w:rPr>
              <w:t>5</w:t>
            </w:r>
            <w:r>
              <w:rPr>
                <w:rFonts w:hint="eastAsia" w:ascii="仿宋_GB2312" w:hAnsi="仿宋_GB2312" w:eastAsia="仿宋_GB2312" w:cs="仿宋_GB2312"/>
                <w:i w:val="0"/>
                <w:iCs w:val="0"/>
                <w:color w:val="000000"/>
                <w:sz w:val="22"/>
                <w:szCs w:val="22"/>
                <w:u w:val="none"/>
              </w:rPr>
              <w:t>未依法说明不受理</w:t>
            </w:r>
            <w:r>
              <w:rPr>
                <w:rFonts w:hint="eastAsia" w:ascii="仿宋_GB2312" w:hAnsi="仿宋_GB2312" w:eastAsia="仿宋_GB2312" w:cs="仿宋_GB2312"/>
                <w:i w:val="0"/>
                <w:iCs w:val="0"/>
                <w:color w:val="000000"/>
                <w:sz w:val="22"/>
                <w:szCs w:val="22"/>
                <w:u w:val="none"/>
                <w:lang w:val="en-US" w:eastAsia="zh-CN"/>
              </w:rPr>
              <w:t>备案</w:t>
            </w:r>
            <w:r>
              <w:rPr>
                <w:rFonts w:hint="eastAsia" w:ascii="仿宋_GB2312" w:hAnsi="仿宋_GB2312" w:eastAsia="仿宋_GB2312" w:cs="仿宋_GB2312"/>
                <w:i w:val="0"/>
                <w:iCs w:val="0"/>
                <w:color w:val="000000"/>
                <w:sz w:val="22"/>
                <w:szCs w:val="22"/>
                <w:u w:val="none"/>
              </w:rPr>
              <w:t>申请或者不予</w:t>
            </w:r>
            <w:r>
              <w:rPr>
                <w:rFonts w:hint="eastAsia" w:ascii="仿宋_GB2312" w:hAnsi="仿宋_GB2312" w:eastAsia="仿宋_GB2312" w:cs="仿宋_GB2312"/>
                <w:i w:val="0"/>
                <w:iCs w:val="0"/>
                <w:color w:val="000000"/>
                <w:sz w:val="22"/>
                <w:szCs w:val="22"/>
                <w:u w:val="none"/>
                <w:lang w:val="en-US" w:eastAsia="zh-CN"/>
              </w:rPr>
              <w:t>备案</w:t>
            </w:r>
            <w:r>
              <w:rPr>
                <w:rFonts w:hint="eastAsia" w:ascii="仿宋_GB2312" w:hAnsi="仿宋_GB2312" w:eastAsia="仿宋_GB2312" w:cs="仿宋_GB2312"/>
                <w:i w:val="0"/>
                <w:iCs w:val="0"/>
                <w:color w:val="000000"/>
                <w:sz w:val="22"/>
                <w:szCs w:val="22"/>
                <w:u w:val="none"/>
              </w:rPr>
              <w:t>的理由的；</w:t>
            </w:r>
            <w:r>
              <w:rPr>
                <w:rFonts w:hint="eastAsia" w:ascii="仿宋_GB2312" w:hAnsi="仿宋_GB2312" w:eastAsia="仿宋_GB2312" w:cs="仿宋_GB2312"/>
                <w:i w:val="0"/>
                <w:iCs w:val="0"/>
                <w:color w:val="000000"/>
                <w:sz w:val="22"/>
                <w:szCs w:val="22"/>
                <w:u w:val="none"/>
                <w:lang w:val="en-US" w:eastAsia="zh-CN"/>
              </w:rPr>
              <w:t>6、</w:t>
            </w:r>
            <w:r>
              <w:rPr>
                <w:rFonts w:hint="eastAsia" w:ascii="仿宋_GB2312" w:hAnsi="仿宋_GB2312" w:eastAsia="仿宋_GB2312" w:cs="仿宋_GB2312"/>
                <w:i w:val="0"/>
                <w:iCs w:val="0"/>
                <w:color w:val="000000"/>
                <w:sz w:val="22"/>
                <w:szCs w:val="22"/>
                <w:u w:val="none"/>
              </w:rPr>
              <w:t>依法应当举行听证而不举行听证的</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1C696D24">
            <w:pPr>
              <w:keepNext w:val="0"/>
              <w:keepLines w:val="0"/>
              <w:widowControl/>
              <w:suppressLineNumbers w:val="0"/>
              <w:jc w:val="center"/>
              <w:textAlignment w:val="center"/>
              <w:rPr>
                <w:rFonts w:hint="default" w:ascii="仿宋_GB2312" w:hAnsi="仿宋_GB2312" w:eastAsia="仿宋_GB2312" w:cs="仿宋_GB2312"/>
                <w:i w:val="0"/>
                <w:iCs w:val="0"/>
                <w:color w:val="000000"/>
                <w:kern w:val="2"/>
                <w:sz w:val="22"/>
                <w:szCs w:val="22"/>
                <w:u w:val="none"/>
                <w:lang w:val="en-US" w:eastAsia="zh-CN" w:bidi="ar-SA"/>
              </w:rPr>
            </w:pPr>
            <w:r>
              <w:rPr>
                <w:rFonts w:hint="eastAsia" w:ascii="仿宋_GB2312" w:hAnsi="仿宋_GB2312" w:eastAsia="仿宋_GB2312" w:cs="仿宋_GB2312"/>
                <w:i w:val="0"/>
                <w:iCs w:val="0"/>
                <w:color w:val="000000"/>
                <w:kern w:val="0"/>
                <w:sz w:val="22"/>
                <w:szCs w:val="22"/>
                <w:u w:val="none"/>
                <w:lang w:val="en-US" w:eastAsia="zh-CN" w:bidi="ar"/>
              </w:rPr>
              <w:t>商务局业务股</w:t>
            </w:r>
          </w:p>
        </w:tc>
      </w:tr>
      <w:tr w14:paraId="37B63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70" w:hRule="atLeast"/>
        </w:trPr>
        <w:tc>
          <w:tcPr>
            <w:tcW w:w="7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0A5B8">
            <w:pPr>
              <w:keepNext w:val="0"/>
              <w:keepLines w:val="0"/>
              <w:widowControl/>
              <w:suppressLineNumbers w:val="0"/>
              <w:jc w:val="center"/>
              <w:textAlignment w:val="center"/>
              <w:rPr>
                <w:rFonts w:hint="default" w:ascii="仿宋_GB2312" w:hAnsi="仿宋_GB2312" w:eastAsia="仿宋_GB2312" w:cs="仿宋_GB2312"/>
                <w:b/>
                <w:bCs/>
                <w:i w:val="0"/>
                <w:iCs w:val="0"/>
                <w:color w:val="auto"/>
                <w:sz w:val="22"/>
                <w:szCs w:val="22"/>
                <w:u w:val="none"/>
                <w:lang w:val="en-US" w:eastAsia="zh-CN"/>
              </w:rPr>
            </w:pPr>
            <w:r>
              <w:rPr>
                <w:rFonts w:hint="eastAsia" w:ascii="仿宋_GB2312" w:hAnsi="仿宋_GB2312" w:eastAsia="仿宋_GB2312" w:cs="仿宋_GB2312"/>
                <w:b/>
                <w:bCs/>
                <w:i w:val="0"/>
                <w:iCs w:val="0"/>
                <w:color w:val="auto"/>
                <w:sz w:val="22"/>
                <w:szCs w:val="22"/>
                <w:u w:val="none"/>
                <w:lang w:val="en-US" w:eastAsia="zh-CN"/>
              </w:rPr>
              <w:t>24</w:t>
            </w:r>
          </w:p>
        </w:tc>
        <w:tc>
          <w:tcPr>
            <w:tcW w:w="21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87F61">
            <w:pPr>
              <w:autoSpaceDN w:val="0"/>
              <w:jc w:val="left"/>
              <w:textAlignment w:val="center"/>
              <w:rPr>
                <w:rFonts w:hint="eastAsia" w:ascii="仿宋_GB2312" w:hAnsi="仿宋_GB2312" w:eastAsia="仿宋_GB2312" w:cs="Times New Roman"/>
                <w:color w:val="000000"/>
                <w:sz w:val="22"/>
                <w:szCs w:val="22"/>
              </w:rPr>
            </w:pPr>
            <w:r>
              <w:rPr>
                <w:rFonts w:hint="eastAsia" w:ascii="仿宋_GB2312" w:hAnsi="仿宋_GB2312" w:eastAsia="仿宋_GB2312" w:cs="Times New Roman"/>
                <w:color w:val="000000"/>
                <w:sz w:val="22"/>
                <w:szCs w:val="22"/>
              </w:rPr>
              <w:t>不涉及国家规定实施准入特别管理措施的外国投资者直接或者间接在中国境内进行投资活动，应由外国投资者或者外商投资企业根据《外商投资信息报告办法》向商务主管部门报送投资信息</w:t>
            </w:r>
          </w:p>
        </w:tc>
        <w:tc>
          <w:tcPr>
            <w:tcW w:w="2925"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C026214">
            <w:pPr>
              <w:autoSpaceDN w:val="0"/>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《外商投资信息报告办法》（中华人民共和国商务部、国家市场监督管理总局 二〇一九年 第2号令）</w:t>
            </w:r>
          </w:p>
          <w:p w14:paraId="462133FC">
            <w:pPr>
              <w:autoSpaceDN w:val="0"/>
              <w:textAlignment w:val="center"/>
              <w:rPr>
                <w:rFonts w:hint="eastAsia"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第二条 外国投资者直接或者间接在中国境内进行投资活动，应由外国投资者或者外商投资企业根据本办法向商务主管部门报送投资信息。第三条 商务部负责统筹和指导全国范围内外商投资信息报告工作。县级以上地方人民政府商务主管部门以及自由贸易试验区、国家级经济技术开发区的相关机构负责本区域内外商投资信息报告工作。第四条 外国投资者或者外商投资企业应当通过企业登记系统以及国家企业信用信息公示系统向商务主管部门报送投资信息。市场监管部门应当及时将外国投资者、外商投资企业报送的上述投资信息推送至商务主管部门。商务部建立外商投资信息报告系统，及时接收、处理市场监管部门推送的投资信息以及部门共享信息等。第五条　市场监管总局统筹指导全国企业登记系统、国家企业信用信息公示系统建设，保障外商投资信息报告的实施。第六条　各级商务主管部门和市场监管部门应当做好工作衔接。商务主管部门应当为外国投资者和外商投资企业报送投资信息提供专门指导。第七条 外国投资者或者外商投资企业应当及时报送投资信息，遵循真实、准确、完整原则，不得进行虚假或误导性报告，不得有重大遗漏。</w:t>
            </w:r>
          </w:p>
        </w:tc>
        <w:tc>
          <w:tcPr>
            <w:tcW w:w="840" w:type="dxa"/>
            <w:tcBorders>
              <w:top w:val="single" w:color="auto" w:sz="4" w:space="0"/>
              <w:left w:val="single" w:color="000000" w:sz="4" w:space="0"/>
              <w:bottom w:val="nil"/>
              <w:right w:val="single" w:color="000000" w:sz="4" w:space="0"/>
            </w:tcBorders>
            <w:shd w:val="clear" w:color="auto" w:fill="auto"/>
            <w:vAlign w:val="center"/>
          </w:tcPr>
          <w:p w14:paraId="13C6A4C2">
            <w:pPr>
              <w:autoSpaceDN w:val="0"/>
              <w:jc w:val="center"/>
              <w:textAlignment w:val="center"/>
              <w:rPr>
                <w:rFonts w:hint="default"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其他职权</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77EAA">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受理-</w:t>
            </w:r>
          </w:p>
          <w:p w14:paraId="7B51EDEA">
            <w:pPr>
              <w:keepNext w:val="0"/>
              <w:keepLines w:val="0"/>
              <w:widowControl/>
              <w:suppressLineNumbers w:val="0"/>
              <w:jc w:val="both"/>
              <w:textAlignment w:val="center"/>
              <w:rPr>
                <w:rFonts w:hint="eastAsia"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审查-</w:t>
            </w:r>
          </w:p>
          <w:p w14:paraId="4A4DF3A9">
            <w:pPr>
              <w:keepNext w:val="0"/>
              <w:keepLines w:val="0"/>
              <w:widowControl/>
              <w:suppressLineNumbers w:val="0"/>
              <w:jc w:val="both"/>
              <w:textAlignment w:val="center"/>
              <w:rPr>
                <w:rFonts w:hint="default" w:ascii="仿宋_GB2312" w:hAnsi="仿宋_GB2312" w:eastAsia="仿宋_GB2312" w:cs="仿宋_GB2312"/>
                <w:i w:val="0"/>
                <w:iCs w:val="0"/>
                <w:color w:val="auto"/>
                <w:kern w:val="0"/>
                <w:sz w:val="22"/>
                <w:szCs w:val="22"/>
                <w:u w:val="none"/>
                <w:lang w:val="en-US" w:eastAsia="zh-CN" w:bidi="ar"/>
              </w:rPr>
            </w:pPr>
            <w:r>
              <w:rPr>
                <w:rFonts w:hint="eastAsia" w:ascii="仿宋_GB2312" w:hAnsi="仿宋_GB2312" w:eastAsia="仿宋_GB2312" w:cs="仿宋_GB2312"/>
                <w:i w:val="0"/>
                <w:iCs w:val="0"/>
                <w:color w:val="auto"/>
                <w:kern w:val="0"/>
                <w:sz w:val="22"/>
                <w:szCs w:val="22"/>
                <w:u w:val="none"/>
                <w:lang w:val="en-US" w:eastAsia="zh-CN" w:bidi="ar"/>
              </w:rPr>
              <w:t>事后监管</w:t>
            </w:r>
          </w:p>
        </w:tc>
        <w:tc>
          <w:tcPr>
            <w:tcW w:w="32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B130D">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1、外国投资者或者外商投资企业应当通过企业登记系统以及国家企业信用信息公示系统向商务主管部门报送投资信息。商务部建立外商投资信息报告系统，及时接收、处理市场监管部门推送的投资信息以及部门共享信息等。</w:t>
            </w:r>
          </w:p>
          <w:p w14:paraId="16DAA4AC">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2、初始报告、变更报告和年度报告等的具体内容，按照确有必要原则，结合外商投资实际情况和企业登记注册、企业信息公示的有关规定确定，由商务部以公告形式对外发布。</w:t>
            </w:r>
          </w:p>
          <w:p w14:paraId="2DCC3D04">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3、强化外国投资者或者外商投资企业信息告知情况的监督。</w:t>
            </w:r>
          </w:p>
        </w:tc>
        <w:tc>
          <w:tcPr>
            <w:tcW w:w="3199" w:type="dxa"/>
            <w:tcBorders>
              <w:top w:val="single" w:color="000000" w:sz="4" w:space="0"/>
              <w:left w:val="single" w:color="000000" w:sz="4" w:space="0"/>
              <w:bottom w:val="nil"/>
              <w:right w:val="single" w:color="000000" w:sz="4" w:space="0"/>
            </w:tcBorders>
            <w:shd w:val="clear" w:color="auto" w:fill="auto"/>
            <w:noWrap/>
            <w:vAlign w:val="center"/>
          </w:tcPr>
          <w:p w14:paraId="11B85361">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1、对外国投资者或者外商投资企业通过企业登记系统以及国家企业信用信息公示系统向商务主管部门报送投资信息未及时接收、处理及部门共享信息。</w:t>
            </w:r>
          </w:p>
          <w:p w14:paraId="41386CAD">
            <w:pPr>
              <w:autoSpaceDN w:val="0"/>
              <w:jc w:val="left"/>
              <w:textAlignment w:val="center"/>
              <w:rPr>
                <w:rFonts w:hint="eastAsia" w:ascii="仿宋_GB2312" w:hAnsi="仿宋_GB2312" w:eastAsia="仿宋_GB2312" w:cs="Times New Roman"/>
                <w:color w:val="000000"/>
                <w:sz w:val="22"/>
                <w:szCs w:val="22"/>
                <w:lang w:val="en-US" w:eastAsia="zh-CN"/>
              </w:rPr>
            </w:pPr>
            <w:r>
              <w:rPr>
                <w:rFonts w:hint="eastAsia" w:ascii="仿宋_GB2312" w:hAnsi="仿宋_GB2312" w:eastAsia="仿宋_GB2312" w:cs="Times New Roman"/>
                <w:color w:val="000000"/>
                <w:sz w:val="22"/>
                <w:szCs w:val="22"/>
                <w:lang w:val="en-US" w:eastAsia="zh-CN"/>
              </w:rPr>
              <w:t>2、对外国投资者或者外商投资企业报送的初始报告、变更报告和年度报告等未以公告形式对外发布。</w:t>
            </w:r>
          </w:p>
          <w:p w14:paraId="38E760C7">
            <w:pPr>
              <w:rPr>
                <w:rFonts w:hint="eastAsia" w:ascii="仿宋_GB2312" w:hAnsi="仿宋_GB2312" w:eastAsia="仿宋_GB2312" w:cs="仿宋_GB2312"/>
                <w:i w:val="0"/>
                <w:iCs w:val="0"/>
                <w:color w:val="000000"/>
                <w:sz w:val="22"/>
                <w:szCs w:val="22"/>
                <w:u w:val="none"/>
                <w:lang w:val="en-US" w:eastAsia="zh-CN"/>
              </w:rPr>
            </w:pPr>
            <w:r>
              <w:rPr>
                <w:rFonts w:hint="eastAsia" w:ascii="仿宋_GB2312" w:hAnsi="仿宋_GB2312" w:eastAsia="仿宋_GB2312" w:cs="Times New Roman"/>
                <w:color w:val="000000"/>
                <w:sz w:val="22"/>
                <w:szCs w:val="22"/>
                <w:lang w:val="en-US" w:eastAsia="zh-CN"/>
              </w:rPr>
              <w:t>3、对外国投资者或者外商投资企业落实信息告知情况未开展监督。</w:t>
            </w:r>
          </w:p>
        </w:tc>
        <w:tc>
          <w:tcPr>
            <w:tcW w:w="858" w:type="dxa"/>
            <w:tcBorders>
              <w:top w:val="single" w:color="000000" w:sz="4" w:space="0"/>
              <w:left w:val="single" w:color="000000" w:sz="4" w:space="0"/>
              <w:bottom w:val="nil"/>
              <w:right w:val="single" w:color="000000" w:sz="4" w:space="0"/>
            </w:tcBorders>
            <w:shd w:val="clear" w:color="auto" w:fill="auto"/>
            <w:vAlign w:val="center"/>
          </w:tcPr>
          <w:p w14:paraId="21C47E04">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县招商投资促进中心</w:t>
            </w:r>
          </w:p>
        </w:tc>
      </w:tr>
      <w:tr w14:paraId="28B45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4" w:hRule="atLeast"/>
        </w:trPr>
        <w:tc>
          <w:tcPr>
            <w:tcW w:w="150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93B66C1">
            <w:pPr>
              <w:keepNext w:val="0"/>
              <w:keepLines w:val="0"/>
              <w:widowControl/>
              <w:suppressLineNumbers w:val="0"/>
              <w:jc w:val="both"/>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 xml:space="preserve">服务电话：66915903            投诉机构： 南召县商务局业务股            投诉电话：    12312                                   </w:t>
            </w:r>
          </w:p>
        </w:tc>
      </w:tr>
      <w:tr w14:paraId="46F54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4" w:hRule="atLeast"/>
        </w:trPr>
        <w:tc>
          <w:tcPr>
            <w:tcW w:w="15060"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8F4D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受理地点：南召县商务局</w:t>
            </w:r>
          </w:p>
        </w:tc>
      </w:tr>
    </w:tbl>
    <w:p w14:paraId="212F8628"/>
    <w:sectPr>
      <w:footerReference r:id="rId3" w:type="default"/>
      <w:pgSz w:w="16838" w:h="11906" w:orient="landscape"/>
      <w:pgMar w:top="1633" w:right="1100" w:bottom="1463" w:left="132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05453">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83E6A3">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83E6A3">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2MGIzMDlhMDRhZDM3MThjYTRiZGRkMWUyYzhkNjcifQ=="/>
  </w:docVars>
  <w:rsids>
    <w:rsidRoot w:val="13CC7FFF"/>
    <w:rsid w:val="042C4A18"/>
    <w:rsid w:val="080E209C"/>
    <w:rsid w:val="0BAB0918"/>
    <w:rsid w:val="0DE40111"/>
    <w:rsid w:val="0E323572"/>
    <w:rsid w:val="0EB65F51"/>
    <w:rsid w:val="0EF56A7A"/>
    <w:rsid w:val="0EF95E3E"/>
    <w:rsid w:val="0F0E7B3C"/>
    <w:rsid w:val="0F5F5CA1"/>
    <w:rsid w:val="0FB87AA7"/>
    <w:rsid w:val="10414420"/>
    <w:rsid w:val="10961B97"/>
    <w:rsid w:val="119F1EA5"/>
    <w:rsid w:val="128B4FFF"/>
    <w:rsid w:val="129817C1"/>
    <w:rsid w:val="12AA505E"/>
    <w:rsid w:val="13223BB5"/>
    <w:rsid w:val="13CC7FFF"/>
    <w:rsid w:val="17CA65CA"/>
    <w:rsid w:val="18B74DA0"/>
    <w:rsid w:val="18F51424"/>
    <w:rsid w:val="1A073B05"/>
    <w:rsid w:val="1B324BB2"/>
    <w:rsid w:val="1BFB1448"/>
    <w:rsid w:val="1CA23671"/>
    <w:rsid w:val="1D1E3640"/>
    <w:rsid w:val="1D706C55"/>
    <w:rsid w:val="1EA02D82"/>
    <w:rsid w:val="1F833C2E"/>
    <w:rsid w:val="20566C4C"/>
    <w:rsid w:val="21404362"/>
    <w:rsid w:val="22791318"/>
    <w:rsid w:val="22934188"/>
    <w:rsid w:val="22F17100"/>
    <w:rsid w:val="24C85C3F"/>
    <w:rsid w:val="24E567F1"/>
    <w:rsid w:val="288051AE"/>
    <w:rsid w:val="28857447"/>
    <w:rsid w:val="28C72DDD"/>
    <w:rsid w:val="29037B8D"/>
    <w:rsid w:val="29CE019B"/>
    <w:rsid w:val="2A677CA8"/>
    <w:rsid w:val="2ACE1AD5"/>
    <w:rsid w:val="2C4B5AD3"/>
    <w:rsid w:val="2C73502A"/>
    <w:rsid w:val="2D8C63A3"/>
    <w:rsid w:val="2ED95618"/>
    <w:rsid w:val="2EF73CF0"/>
    <w:rsid w:val="306727B0"/>
    <w:rsid w:val="307C26FF"/>
    <w:rsid w:val="336B6A5B"/>
    <w:rsid w:val="35204BD0"/>
    <w:rsid w:val="36105698"/>
    <w:rsid w:val="37610EDA"/>
    <w:rsid w:val="378974B0"/>
    <w:rsid w:val="379320DC"/>
    <w:rsid w:val="37F76B0F"/>
    <w:rsid w:val="3825542A"/>
    <w:rsid w:val="3A804B9A"/>
    <w:rsid w:val="3ACD4686"/>
    <w:rsid w:val="3B820DE6"/>
    <w:rsid w:val="3B950B19"/>
    <w:rsid w:val="3DE6565C"/>
    <w:rsid w:val="3DE9514C"/>
    <w:rsid w:val="3E2148E6"/>
    <w:rsid w:val="3E5A7DF8"/>
    <w:rsid w:val="3F823162"/>
    <w:rsid w:val="3F8A2017"/>
    <w:rsid w:val="3FDD483D"/>
    <w:rsid w:val="405B6F2C"/>
    <w:rsid w:val="406C773A"/>
    <w:rsid w:val="40AB0497"/>
    <w:rsid w:val="42160540"/>
    <w:rsid w:val="42EF4FB3"/>
    <w:rsid w:val="464E0242"/>
    <w:rsid w:val="46893028"/>
    <w:rsid w:val="4712301E"/>
    <w:rsid w:val="477261B2"/>
    <w:rsid w:val="48A73C3A"/>
    <w:rsid w:val="48D72771"/>
    <w:rsid w:val="492B6619"/>
    <w:rsid w:val="49830203"/>
    <w:rsid w:val="4B11183E"/>
    <w:rsid w:val="4C583BC9"/>
    <w:rsid w:val="4D6B792C"/>
    <w:rsid w:val="4E4168DE"/>
    <w:rsid w:val="4E775E5C"/>
    <w:rsid w:val="4EAC01FC"/>
    <w:rsid w:val="4F3B50DC"/>
    <w:rsid w:val="508A1E77"/>
    <w:rsid w:val="50D852D8"/>
    <w:rsid w:val="51114346"/>
    <w:rsid w:val="512A365A"/>
    <w:rsid w:val="537D3F15"/>
    <w:rsid w:val="538B4884"/>
    <w:rsid w:val="548B440F"/>
    <w:rsid w:val="54D1276A"/>
    <w:rsid w:val="566D0271"/>
    <w:rsid w:val="577675F9"/>
    <w:rsid w:val="59576FB6"/>
    <w:rsid w:val="5A0A5DD6"/>
    <w:rsid w:val="5BB26726"/>
    <w:rsid w:val="5C4557EC"/>
    <w:rsid w:val="5CB36BF9"/>
    <w:rsid w:val="5CD8040E"/>
    <w:rsid w:val="5CE2696E"/>
    <w:rsid w:val="5D5E4DB7"/>
    <w:rsid w:val="5EE237C6"/>
    <w:rsid w:val="5F8959EF"/>
    <w:rsid w:val="5FD70E51"/>
    <w:rsid w:val="6109503A"/>
    <w:rsid w:val="643E4FFA"/>
    <w:rsid w:val="6562740E"/>
    <w:rsid w:val="6850354E"/>
    <w:rsid w:val="68ED6FEF"/>
    <w:rsid w:val="6A7A2DED"/>
    <w:rsid w:val="6AB11AC9"/>
    <w:rsid w:val="6BD83F86"/>
    <w:rsid w:val="6C5C4BB7"/>
    <w:rsid w:val="6C6E48EB"/>
    <w:rsid w:val="6CBF5146"/>
    <w:rsid w:val="6DAD4F9F"/>
    <w:rsid w:val="6DD864C0"/>
    <w:rsid w:val="6E2C2368"/>
    <w:rsid w:val="6ED50C51"/>
    <w:rsid w:val="6EF54E4F"/>
    <w:rsid w:val="6FD76303"/>
    <w:rsid w:val="72D336FA"/>
    <w:rsid w:val="735D47E1"/>
    <w:rsid w:val="74B15375"/>
    <w:rsid w:val="750F340D"/>
    <w:rsid w:val="77533239"/>
    <w:rsid w:val="782567A5"/>
    <w:rsid w:val="78484242"/>
    <w:rsid w:val="784F4498"/>
    <w:rsid w:val="78520C1D"/>
    <w:rsid w:val="79DF2984"/>
    <w:rsid w:val="7A396538"/>
    <w:rsid w:val="7BCE4A5E"/>
    <w:rsid w:val="7C02295A"/>
    <w:rsid w:val="7D823D52"/>
    <w:rsid w:val="7F08472B"/>
    <w:rsid w:val="7F539AAE"/>
    <w:rsid w:val="7F963A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15980</Words>
  <Characters>16276</Characters>
  <Lines>0</Lines>
  <Paragraphs>0</Paragraphs>
  <TotalTime>4</TotalTime>
  <ScaleCrop>false</ScaleCrop>
  <LinksUpToDate>false</LinksUpToDate>
  <CharactersWithSpaces>16403</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2023-09-04T16:56:00Z</dcterms:created>
  <dc:creator>丹霞山人</dc:creator>
  <cp:lastModifiedBy>wsy</cp:lastModifiedBy>
  <cp:lastPrinted>2023-09-05T07:53:00Z</cp:lastPrinted>
  <dcterms:modified xsi:type="dcterms:W3CDTF">2025-12-05T10:58:54Z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D02FBE1B5C3E43D396270F458B1BCA61_11</vt:lpwstr>
  </property>
  <property fmtid="{D5CDD505-2E9C-101B-9397-08002B2CF9AE}" pid="4" name="KSOTemplateDocerSaveRecord">
    <vt:lpwstr>eyJoZGlkIjoiMGI2MGIzMDlhMDRhZDM3MThjYTRiZGRkMWUyYzhkNjciLCJ1c2VySWQiOiIxMDgxMDg2NjU1In0=</vt:lpwstr>
  </property>
</Properties>
</file>