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64E04">
      <w:pPr>
        <w:autoSpaceDN w:val="0"/>
        <w:spacing w:line="700" w:lineRule="exact"/>
        <w:textAlignment w:val="center"/>
        <w:rPr>
          <w:rFonts w:ascii="黑体" w:hAnsi="黑体" w:eastAsia="黑体" w:cs="黑体"/>
          <w:sz w:val="32"/>
          <w:szCs w:val="32"/>
        </w:rPr>
      </w:pPr>
      <w:r>
        <w:rPr>
          <w:rFonts w:hint="eastAsia" w:ascii="黑体" w:hAnsi="黑体" w:eastAsia="黑体" w:cs="黑体"/>
          <w:sz w:val="32"/>
          <w:szCs w:val="32"/>
        </w:rPr>
        <w:t>附件1</w:t>
      </w:r>
    </w:p>
    <w:p w14:paraId="5B89857A">
      <w:pPr>
        <w:autoSpaceDN w:val="0"/>
        <w:spacing w:line="700" w:lineRule="exact"/>
        <w:jc w:val="center"/>
        <w:textAlignment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南召县</w:t>
      </w:r>
      <w:r>
        <w:rPr>
          <w:rFonts w:hint="eastAsia" w:ascii="方正小标宋_GBK" w:hAnsi="方正小标宋_GBK" w:eastAsia="方正小标宋_GBK" w:cs="方正小标宋_GBK"/>
          <w:kern w:val="0"/>
          <w:sz w:val="44"/>
          <w:szCs w:val="44"/>
          <w:lang w:val="en-US" w:eastAsia="zh-CN"/>
        </w:rPr>
        <w:t>工信</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sz w:val="44"/>
          <w:szCs w:val="44"/>
        </w:rPr>
        <w:t>权责清单调整情况表</w:t>
      </w:r>
    </w:p>
    <w:p w14:paraId="06C18C31">
      <w:pPr>
        <w:widowControl w:val="0"/>
        <w:spacing w:after="0" w:line="400" w:lineRule="exact"/>
        <w:jc w:val="both"/>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部门负责人签字：</w:t>
      </w:r>
    </w:p>
    <w:p w14:paraId="655FFE00">
      <w:pPr>
        <w:widowControl w:val="0"/>
        <w:spacing w:after="0" w:line="400" w:lineRule="exact"/>
        <w:jc w:val="both"/>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部门名称：（盖章）南召县工信局</w:t>
      </w:r>
    </w:p>
    <w:tbl>
      <w:tblPr>
        <w:tblStyle w:val="2"/>
        <w:tblW w:w="13935" w:type="dxa"/>
        <w:tblInd w:w="0" w:type="dxa"/>
        <w:tblLayout w:type="fixed"/>
        <w:tblCellMar>
          <w:top w:w="0" w:type="dxa"/>
          <w:left w:w="15" w:type="dxa"/>
          <w:bottom w:w="0" w:type="dxa"/>
          <w:right w:w="15" w:type="dxa"/>
        </w:tblCellMar>
      </w:tblPr>
      <w:tblGrid>
        <w:gridCol w:w="985"/>
        <w:gridCol w:w="2013"/>
        <w:gridCol w:w="4809"/>
        <w:gridCol w:w="967"/>
        <w:gridCol w:w="967"/>
        <w:gridCol w:w="2851"/>
        <w:gridCol w:w="1343"/>
      </w:tblGrid>
      <w:tr w14:paraId="09A4263D">
        <w:tblPrEx>
          <w:tblCellMar>
            <w:top w:w="0" w:type="dxa"/>
            <w:left w:w="15" w:type="dxa"/>
            <w:bottom w:w="0" w:type="dxa"/>
            <w:right w:w="15" w:type="dxa"/>
          </w:tblCellMar>
        </w:tblPrEx>
        <w:trPr>
          <w:trHeight w:val="676" w:hRule="atLeast"/>
        </w:trPr>
        <w:tc>
          <w:tcPr>
            <w:tcW w:w="985" w:type="dxa"/>
            <w:tcBorders>
              <w:top w:val="single" w:color="000000" w:sz="4" w:space="0"/>
              <w:left w:val="single" w:color="000000" w:sz="4" w:space="0"/>
              <w:bottom w:val="single" w:color="000000" w:sz="4" w:space="0"/>
              <w:right w:val="single" w:color="000000" w:sz="4" w:space="0"/>
            </w:tcBorders>
            <w:vAlign w:val="center"/>
          </w:tcPr>
          <w:p w14:paraId="0F3FEC8F">
            <w:pPr>
              <w:widowControl w:val="0"/>
              <w:spacing w:after="0"/>
              <w:jc w:val="center"/>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序号</w:t>
            </w:r>
          </w:p>
        </w:tc>
        <w:tc>
          <w:tcPr>
            <w:tcW w:w="2013" w:type="dxa"/>
            <w:tcBorders>
              <w:top w:val="single" w:color="000000" w:sz="4" w:space="0"/>
              <w:left w:val="single" w:color="000000" w:sz="4" w:space="0"/>
              <w:bottom w:val="single" w:color="000000" w:sz="4" w:space="0"/>
              <w:right w:val="single" w:color="000000" w:sz="4" w:space="0"/>
            </w:tcBorders>
            <w:vAlign w:val="center"/>
          </w:tcPr>
          <w:p w14:paraId="2C201504">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项目名称</w:t>
            </w:r>
          </w:p>
        </w:tc>
        <w:tc>
          <w:tcPr>
            <w:tcW w:w="4809" w:type="dxa"/>
            <w:tcBorders>
              <w:top w:val="single" w:color="000000" w:sz="4" w:space="0"/>
              <w:left w:val="single" w:color="000000" w:sz="4" w:space="0"/>
              <w:bottom w:val="single" w:color="000000" w:sz="4" w:space="0"/>
              <w:right w:val="single" w:color="000000" w:sz="4" w:space="0"/>
            </w:tcBorders>
            <w:vAlign w:val="center"/>
          </w:tcPr>
          <w:p w14:paraId="01D9C42E">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实施依据</w:t>
            </w:r>
          </w:p>
        </w:tc>
        <w:tc>
          <w:tcPr>
            <w:tcW w:w="967" w:type="dxa"/>
            <w:tcBorders>
              <w:top w:val="single" w:color="000000" w:sz="4" w:space="0"/>
              <w:left w:val="single" w:color="000000" w:sz="4" w:space="0"/>
              <w:bottom w:val="single" w:color="000000" w:sz="4" w:space="0"/>
              <w:right w:val="single" w:color="000000" w:sz="4" w:space="0"/>
            </w:tcBorders>
            <w:vAlign w:val="center"/>
          </w:tcPr>
          <w:p w14:paraId="0D85BEA8">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职权</w:t>
            </w:r>
          </w:p>
          <w:p w14:paraId="2E4796CC">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类别</w:t>
            </w:r>
          </w:p>
        </w:tc>
        <w:tc>
          <w:tcPr>
            <w:tcW w:w="967" w:type="dxa"/>
            <w:tcBorders>
              <w:top w:val="single" w:color="000000" w:sz="4" w:space="0"/>
              <w:left w:val="single" w:color="000000" w:sz="4" w:space="0"/>
              <w:bottom w:val="single" w:color="000000" w:sz="4" w:space="0"/>
              <w:right w:val="single" w:color="000000" w:sz="4" w:space="0"/>
            </w:tcBorders>
            <w:vAlign w:val="center"/>
          </w:tcPr>
          <w:p w14:paraId="54BA1D84">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办理</w:t>
            </w:r>
          </w:p>
          <w:p w14:paraId="393D1117">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环节</w:t>
            </w:r>
          </w:p>
        </w:tc>
        <w:tc>
          <w:tcPr>
            <w:tcW w:w="2851" w:type="dxa"/>
            <w:tcBorders>
              <w:top w:val="single" w:color="000000" w:sz="4" w:space="0"/>
              <w:left w:val="single" w:color="000000" w:sz="4" w:space="0"/>
              <w:bottom w:val="single" w:color="000000" w:sz="4" w:space="0"/>
              <w:right w:val="single" w:color="000000" w:sz="4" w:space="0"/>
            </w:tcBorders>
            <w:vAlign w:val="center"/>
          </w:tcPr>
          <w:p w14:paraId="0BF73E35">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责任事项</w:t>
            </w:r>
          </w:p>
        </w:tc>
        <w:tc>
          <w:tcPr>
            <w:tcW w:w="1342" w:type="dxa"/>
            <w:tcBorders>
              <w:top w:val="single" w:color="000000" w:sz="4" w:space="0"/>
              <w:left w:val="single" w:color="000000" w:sz="4" w:space="0"/>
              <w:bottom w:val="single" w:color="000000" w:sz="4" w:space="0"/>
              <w:right w:val="single" w:color="000000" w:sz="4" w:space="0"/>
            </w:tcBorders>
            <w:vAlign w:val="center"/>
          </w:tcPr>
          <w:p w14:paraId="6664D7E7">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责任科室</w:t>
            </w:r>
          </w:p>
        </w:tc>
      </w:tr>
      <w:tr w14:paraId="52824EE1">
        <w:tblPrEx>
          <w:tblCellMar>
            <w:top w:w="0" w:type="dxa"/>
            <w:left w:w="15" w:type="dxa"/>
            <w:bottom w:w="0" w:type="dxa"/>
            <w:right w:w="15" w:type="dxa"/>
          </w:tblCellMar>
        </w:tblPrEx>
        <w:trPr>
          <w:trHeight w:val="2364" w:hRule="atLeast"/>
        </w:trPr>
        <w:tc>
          <w:tcPr>
            <w:tcW w:w="985" w:type="dxa"/>
            <w:vMerge w:val="restart"/>
            <w:tcBorders>
              <w:top w:val="single" w:color="000000" w:sz="4" w:space="0"/>
              <w:left w:val="single" w:color="000000" w:sz="4" w:space="0"/>
              <w:right w:val="single" w:color="000000" w:sz="4" w:space="0"/>
            </w:tcBorders>
            <w:vAlign w:val="center"/>
          </w:tcPr>
          <w:p w14:paraId="2F4F1264">
            <w:pPr>
              <w:autoSpaceDN w:val="0"/>
              <w:jc w:val="center"/>
              <w:textAlignment w:val="center"/>
              <w:rPr>
                <w:rFonts w:ascii="仿宋_GB2312" w:hAnsi="仿宋_GB2312" w:eastAsia="仿宋_GB2312" w:cs="Times New Roman"/>
                <w:color w:val="000000"/>
                <w:sz w:val="28"/>
                <w:szCs w:val="28"/>
              </w:rPr>
            </w:pPr>
            <w:r>
              <w:rPr>
                <w:rFonts w:ascii="仿宋_GB2312" w:hAnsi="仿宋_GB2312" w:eastAsia="仿宋_GB2312" w:cs="Times New Roman"/>
                <w:color w:val="000000"/>
                <w:sz w:val="24"/>
                <w:szCs w:val="24"/>
              </w:rPr>
              <w:t>1</w:t>
            </w:r>
          </w:p>
        </w:tc>
        <w:tc>
          <w:tcPr>
            <w:tcW w:w="2013" w:type="dxa"/>
            <w:tcBorders>
              <w:top w:val="single" w:color="000000" w:sz="4" w:space="0"/>
              <w:left w:val="single" w:color="000000" w:sz="4" w:space="0"/>
              <w:bottom w:val="single" w:color="000000" w:sz="4" w:space="0"/>
              <w:right w:val="single" w:color="000000" w:sz="4" w:space="0"/>
            </w:tcBorders>
            <w:vAlign w:val="center"/>
          </w:tcPr>
          <w:p w14:paraId="20BB4311">
            <w:pPr>
              <w:autoSpaceDN w:val="0"/>
              <w:jc w:val="center"/>
              <w:textAlignment w:val="center"/>
              <w:rPr>
                <w:rFonts w:hint="eastAsia" w:ascii="仿宋_GB2312" w:hAnsi="仿宋_GB2312" w:eastAsia="仿宋_GB2312" w:cs="Times New Roman"/>
                <w:color w:val="000000"/>
                <w:sz w:val="28"/>
                <w:szCs w:val="28"/>
                <w:lang w:val="en-US" w:eastAsia="zh-CN"/>
              </w:rPr>
            </w:pPr>
            <w:r>
              <w:rPr>
                <w:rFonts w:hint="eastAsia" w:ascii="仿宋_GB2312" w:hAnsi="仿宋_GB2312" w:eastAsia="仿宋_GB2312" w:cs="Times New Roman"/>
                <w:color w:val="000000"/>
                <w:sz w:val="28"/>
                <w:szCs w:val="28"/>
                <w:lang w:val="en-US" w:eastAsia="zh-CN"/>
              </w:rPr>
              <w:t>无</w:t>
            </w:r>
          </w:p>
        </w:tc>
        <w:tc>
          <w:tcPr>
            <w:tcW w:w="4809" w:type="dxa"/>
            <w:tcBorders>
              <w:top w:val="single" w:color="000000" w:sz="4" w:space="0"/>
              <w:left w:val="single" w:color="000000" w:sz="4" w:space="0"/>
              <w:bottom w:val="single" w:color="000000" w:sz="4" w:space="0"/>
              <w:right w:val="single" w:color="000000" w:sz="4" w:space="0"/>
            </w:tcBorders>
            <w:vAlign w:val="center"/>
          </w:tcPr>
          <w:p w14:paraId="4753AF4F">
            <w:pPr>
              <w:autoSpaceDN w:val="0"/>
              <w:textAlignment w:val="center"/>
              <w:rPr>
                <w:rFonts w:ascii="仿宋_GB2312" w:hAnsi="仿宋_GB2312" w:eastAsia="仿宋_GB2312" w:cs="Times New Roman"/>
                <w:color w:val="000000"/>
                <w:sz w:val="28"/>
                <w:szCs w:val="2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1FE85326">
            <w:pPr>
              <w:autoSpaceDN w:val="0"/>
              <w:jc w:val="center"/>
              <w:textAlignment w:val="center"/>
              <w:rPr>
                <w:rFonts w:ascii="仿宋_GB2312" w:hAnsi="仿宋_GB2312" w:eastAsia="仿宋_GB2312" w:cs="Times New Roman"/>
                <w:color w:val="000000"/>
                <w:sz w:val="28"/>
                <w:szCs w:val="2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6AAEF39C">
            <w:pPr>
              <w:autoSpaceDN w:val="0"/>
              <w:jc w:val="center"/>
              <w:textAlignment w:val="center"/>
              <w:rPr>
                <w:rFonts w:ascii="宋体" w:hAnsi="宋体" w:eastAsia="宋体" w:cs="Times New Roman"/>
                <w:color w:val="000000"/>
                <w:sz w:val="28"/>
                <w:szCs w:val="28"/>
              </w:rPr>
            </w:pPr>
          </w:p>
        </w:tc>
        <w:tc>
          <w:tcPr>
            <w:tcW w:w="2851" w:type="dxa"/>
            <w:tcBorders>
              <w:top w:val="single" w:color="000000" w:sz="4" w:space="0"/>
              <w:left w:val="single" w:color="000000" w:sz="4" w:space="0"/>
              <w:bottom w:val="single" w:color="000000" w:sz="4" w:space="0"/>
              <w:right w:val="single" w:color="000000" w:sz="4" w:space="0"/>
            </w:tcBorders>
            <w:vAlign w:val="center"/>
          </w:tcPr>
          <w:p w14:paraId="4CC2CA62">
            <w:pPr>
              <w:autoSpaceDN w:val="0"/>
              <w:jc w:val="left"/>
              <w:textAlignment w:val="center"/>
              <w:rPr>
                <w:rFonts w:ascii="仿宋_GB2312" w:hAnsi="仿宋_GB2312" w:eastAsia="仿宋_GB2312" w:cs="Times New Roman"/>
                <w:color w:val="000000"/>
                <w:sz w:val="28"/>
                <w:szCs w:val="28"/>
              </w:rPr>
            </w:pPr>
          </w:p>
        </w:tc>
        <w:tc>
          <w:tcPr>
            <w:tcW w:w="1342" w:type="dxa"/>
            <w:tcBorders>
              <w:top w:val="single" w:color="000000" w:sz="4" w:space="0"/>
              <w:left w:val="single" w:color="000000" w:sz="4" w:space="0"/>
              <w:bottom w:val="single" w:color="000000" w:sz="4" w:space="0"/>
              <w:right w:val="single" w:color="000000" w:sz="4" w:space="0"/>
            </w:tcBorders>
            <w:vAlign w:val="center"/>
          </w:tcPr>
          <w:p w14:paraId="09D8817F">
            <w:pPr>
              <w:autoSpaceDN w:val="0"/>
              <w:jc w:val="left"/>
              <w:textAlignment w:val="center"/>
              <w:rPr>
                <w:rFonts w:ascii="仿宋_GB2312" w:hAnsi="仿宋_GB2312" w:eastAsia="仿宋_GB2312" w:cs="Times New Roman"/>
                <w:color w:val="000000"/>
                <w:sz w:val="28"/>
                <w:szCs w:val="28"/>
              </w:rPr>
            </w:pPr>
          </w:p>
        </w:tc>
      </w:tr>
      <w:tr w14:paraId="13C4945E">
        <w:tblPrEx>
          <w:tblCellMar>
            <w:top w:w="0" w:type="dxa"/>
            <w:left w:w="15" w:type="dxa"/>
            <w:bottom w:w="0" w:type="dxa"/>
            <w:right w:w="15" w:type="dxa"/>
          </w:tblCellMar>
        </w:tblPrEx>
        <w:trPr>
          <w:trHeight w:val="579" w:hRule="atLeast"/>
        </w:trPr>
        <w:tc>
          <w:tcPr>
            <w:tcW w:w="985" w:type="dxa"/>
            <w:vMerge w:val="continue"/>
            <w:tcBorders>
              <w:left w:val="single" w:color="000000" w:sz="4" w:space="0"/>
              <w:right w:val="single" w:color="000000" w:sz="4" w:space="0"/>
            </w:tcBorders>
            <w:vAlign w:val="center"/>
          </w:tcPr>
          <w:p w14:paraId="4DA10219">
            <w:pPr>
              <w:autoSpaceDN w:val="0"/>
              <w:jc w:val="center"/>
              <w:textAlignment w:val="center"/>
              <w:rPr>
                <w:rFonts w:ascii="仿宋_GB2312" w:hAnsi="仿宋_GB2312" w:eastAsia="仿宋_GB2312" w:cs="Times New Roman"/>
                <w:color w:val="000000"/>
                <w:sz w:val="24"/>
                <w:szCs w:val="24"/>
              </w:rPr>
            </w:pPr>
          </w:p>
        </w:tc>
        <w:tc>
          <w:tcPr>
            <w:tcW w:w="12950" w:type="dxa"/>
            <w:gridSpan w:val="6"/>
            <w:tcBorders>
              <w:top w:val="single" w:color="000000" w:sz="4" w:space="0"/>
              <w:left w:val="single" w:color="000000" w:sz="4" w:space="0"/>
              <w:bottom w:val="single" w:color="000000" w:sz="4" w:space="0"/>
              <w:right w:val="single" w:color="000000" w:sz="4" w:space="0"/>
            </w:tcBorders>
            <w:vAlign w:val="center"/>
          </w:tcPr>
          <w:p w14:paraId="79E818E4">
            <w:pPr>
              <w:autoSpaceDN w:val="0"/>
              <w:jc w:val="left"/>
              <w:textAlignment w:val="center"/>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调整情况：</w:t>
            </w:r>
            <w:r>
              <w:rPr>
                <w:rFonts w:hint="eastAsia" w:ascii="黑体" w:hAnsi="黑体" w:eastAsia="黑体" w:cs="黑体"/>
                <w:color w:val="000000"/>
                <w:sz w:val="28"/>
                <w:szCs w:val="28"/>
                <w:lang w:eastAsia="zh-CN"/>
              </w:rPr>
              <w:t>无</w:t>
            </w:r>
          </w:p>
        </w:tc>
      </w:tr>
      <w:tr w14:paraId="4817EF24">
        <w:tblPrEx>
          <w:tblCellMar>
            <w:top w:w="0" w:type="dxa"/>
            <w:left w:w="15" w:type="dxa"/>
            <w:bottom w:w="0" w:type="dxa"/>
            <w:right w:w="15" w:type="dxa"/>
          </w:tblCellMar>
        </w:tblPrEx>
        <w:trPr>
          <w:trHeight w:val="257" w:hRule="atLeast"/>
        </w:trPr>
        <w:tc>
          <w:tcPr>
            <w:tcW w:w="985" w:type="dxa"/>
            <w:vMerge w:val="continue"/>
            <w:tcBorders>
              <w:left w:val="single" w:color="000000" w:sz="4" w:space="0"/>
              <w:bottom w:val="single" w:color="auto" w:sz="4" w:space="0"/>
              <w:right w:val="single" w:color="000000" w:sz="4" w:space="0"/>
            </w:tcBorders>
            <w:vAlign w:val="center"/>
          </w:tcPr>
          <w:p w14:paraId="4D58A8BE">
            <w:pPr>
              <w:autoSpaceDN w:val="0"/>
              <w:jc w:val="center"/>
              <w:textAlignment w:val="center"/>
              <w:rPr>
                <w:rFonts w:ascii="仿宋_GB2312" w:hAnsi="仿宋_GB2312" w:eastAsia="仿宋_GB2312" w:cs="Times New Roman"/>
                <w:color w:val="000000"/>
                <w:sz w:val="24"/>
                <w:szCs w:val="24"/>
              </w:rPr>
            </w:pPr>
          </w:p>
        </w:tc>
        <w:tc>
          <w:tcPr>
            <w:tcW w:w="12950" w:type="dxa"/>
            <w:gridSpan w:val="6"/>
            <w:tcBorders>
              <w:top w:val="single" w:color="000000" w:sz="4" w:space="0"/>
              <w:left w:val="single" w:color="000000" w:sz="4" w:space="0"/>
              <w:bottom w:val="single" w:color="000000" w:sz="4" w:space="0"/>
              <w:right w:val="single" w:color="000000" w:sz="4" w:space="0"/>
            </w:tcBorders>
            <w:vAlign w:val="center"/>
          </w:tcPr>
          <w:p w14:paraId="0B40B59D">
            <w:pPr>
              <w:autoSpaceDN w:val="0"/>
              <w:jc w:val="left"/>
              <w:textAlignment w:val="center"/>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调整原因：</w:t>
            </w:r>
            <w:r>
              <w:rPr>
                <w:rFonts w:hint="eastAsia" w:ascii="黑体" w:hAnsi="黑体" w:eastAsia="黑体" w:cs="黑体"/>
                <w:color w:val="000000"/>
                <w:sz w:val="28"/>
                <w:szCs w:val="28"/>
                <w:lang w:eastAsia="zh-CN"/>
              </w:rPr>
              <w:t>无</w:t>
            </w:r>
            <w:bookmarkStart w:id="0" w:name="_GoBack"/>
            <w:bookmarkEnd w:id="0"/>
          </w:p>
        </w:tc>
      </w:tr>
    </w:tbl>
    <w:p w14:paraId="4A31A45E">
      <w:pPr>
        <w:autoSpaceDN w:val="0"/>
        <w:snapToGrid w:val="0"/>
        <w:textAlignment w:val="center"/>
        <w:rPr>
          <w:rFonts w:ascii="仿宋_GB2312" w:hAnsi="仿宋_GB2312" w:eastAsia="仿宋_GB2312" w:cs="仿宋_GB2312"/>
          <w:sz w:val="24"/>
          <w:szCs w:val="24"/>
        </w:rPr>
        <w:sectPr>
          <w:pgSz w:w="16838" w:h="11906" w:orient="landscape"/>
          <w:pgMar w:top="1531" w:right="1928" w:bottom="1531" w:left="1304" w:header="851" w:footer="1134" w:gutter="0"/>
          <w:pgNumType w:fmt="numberInDash"/>
          <w:cols w:space="720" w:num="1"/>
          <w:docGrid w:type="lines" w:linePitch="313" w:charSpace="0"/>
        </w:sectPr>
      </w:pPr>
    </w:p>
    <w:p w14:paraId="616D9B73">
      <w:pPr>
        <w:autoSpaceDN w:val="0"/>
        <w:spacing w:line="700" w:lineRule="exact"/>
        <w:textAlignment w:val="center"/>
        <w:rPr>
          <w:rFonts w:ascii="黑体" w:hAnsi="黑体" w:eastAsia="黑体" w:cs="黑体"/>
          <w:sz w:val="32"/>
          <w:szCs w:val="32"/>
        </w:rPr>
      </w:pPr>
      <w:r>
        <w:rPr>
          <w:rFonts w:hint="eastAsia" w:ascii="黑体" w:hAnsi="黑体" w:eastAsia="黑体" w:cs="黑体"/>
          <w:sz w:val="32"/>
          <w:szCs w:val="32"/>
        </w:rPr>
        <w:t>附件2</w:t>
      </w:r>
    </w:p>
    <w:p w14:paraId="11F4B35D">
      <w:pPr>
        <w:widowControl w:val="0"/>
        <w:spacing w:after="0" w:line="20" w:lineRule="exact"/>
        <w:jc w:val="both"/>
        <w:rPr>
          <w:rFonts w:ascii="宋体" w:hAnsi="宋体" w:eastAsia="宋体" w:cs="Times New Roman"/>
          <w:color w:val="000000"/>
          <w:kern w:val="2"/>
          <w:sz w:val="22"/>
          <w:szCs w:val="22"/>
          <w:lang w:val="en-US" w:eastAsia="zh-CN" w:bidi="ar-SA"/>
        </w:rPr>
      </w:pPr>
    </w:p>
    <w:p w14:paraId="1E507F52">
      <w:pPr>
        <w:spacing w:line="520" w:lineRule="exact"/>
        <w:jc w:val="center"/>
        <w:rPr>
          <w:rFonts w:ascii="方正大标宋_GBK" w:hAnsi="方正大标宋_GBK" w:eastAsia="方正大标宋_GBK" w:cs="方正大标宋_GBK"/>
          <w:sz w:val="44"/>
          <w:szCs w:val="44"/>
        </w:rPr>
      </w:pPr>
      <w:r>
        <w:rPr>
          <w:rFonts w:hint="eastAsia" w:ascii="方正小标宋_GBK" w:hAnsi="方正小标宋_GBK" w:eastAsia="方正小标宋_GBK" w:cs="方正小标宋_GBK"/>
          <w:kern w:val="0"/>
          <w:sz w:val="44"/>
          <w:szCs w:val="44"/>
        </w:rPr>
        <w:t>南召县</w:t>
      </w:r>
      <w:r>
        <w:rPr>
          <w:rFonts w:hint="eastAsia" w:ascii="方正小标宋_GBK" w:hAnsi="方正小标宋_GBK" w:eastAsia="方正小标宋_GBK" w:cs="方正小标宋_GBK"/>
          <w:kern w:val="0"/>
          <w:sz w:val="44"/>
          <w:szCs w:val="44"/>
          <w:lang w:val="en-US" w:eastAsia="zh-CN"/>
        </w:rPr>
        <w:t>工信</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sz w:val="44"/>
          <w:szCs w:val="44"/>
        </w:rPr>
        <w:t>权责清单目录</w:t>
      </w:r>
    </w:p>
    <w:p w14:paraId="3AA9F160">
      <w:pPr>
        <w:spacing w:line="52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（共</w:t>
      </w:r>
      <w:r>
        <w:rPr>
          <w:rFonts w:hint="eastAsia" w:ascii="楷体_GB2312" w:hAnsi="楷体_GB2312" w:eastAsia="楷体_GB2312" w:cs="楷体_GB2312"/>
          <w:b/>
          <w:bCs/>
          <w:sz w:val="32"/>
          <w:szCs w:val="32"/>
          <w:lang w:val="en-US" w:eastAsia="zh-CN"/>
        </w:rPr>
        <w:t>9</w:t>
      </w:r>
      <w:r>
        <w:rPr>
          <w:rFonts w:hint="eastAsia" w:ascii="楷体_GB2312" w:hAnsi="楷体_GB2312" w:eastAsia="楷体_GB2312" w:cs="楷体_GB2312"/>
          <w:b/>
          <w:bCs/>
          <w:sz w:val="32"/>
          <w:szCs w:val="32"/>
        </w:rPr>
        <w:t>项）</w:t>
      </w:r>
    </w:p>
    <w:tbl>
      <w:tblPr>
        <w:tblStyle w:val="2"/>
        <w:tblW w:w="87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690"/>
        <w:gridCol w:w="1365"/>
      </w:tblGrid>
      <w:tr w14:paraId="62C0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35" w:type="dxa"/>
            <w:vAlign w:val="center"/>
          </w:tcPr>
          <w:p w14:paraId="1F79EF75">
            <w:pPr>
              <w:jc w:val="center"/>
              <w:rPr>
                <w:rFonts w:ascii="Calibri" w:hAnsi="Calibri" w:eastAsia="宋体" w:cs="Times New Roman"/>
                <w:sz w:val="24"/>
                <w:szCs w:val="24"/>
              </w:rPr>
            </w:pPr>
            <w:r>
              <w:rPr>
                <w:rFonts w:hint="eastAsia" w:ascii="黑体" w:hAnsi="黑体" w:eastAsia="黑体" w:cs="黑体"/>
                <w:sz w:val="24"/>
                <w:szCs w:val="24"/>
              </w:rPr>
              <w:t>序号</w:t>
            </w:r>
          </w:p>
        </w:tc>
        <w:tc>
          <w:tcPr>
            <w:tcW w:w="6690" w:type="dxa"/>
            <w:vAlign w:val="center"/>
          </w:tcPr>
          <w:p w14:paraId="0A56B2E3">
            <w:pPr>
              <w:jc w:val="center"/>
              <w:rPr>
                <w:rFonts w:ascii="Calibri" w:hAnsi="Calibri" w:eastAsia="宋体" w:cs="Times New Roman"/>
                <w:sz w:val="24"/>
                <w:szCs w:val="24"/>
              </w:rPr>
            </w:pPr>
            <w:r>
              <w:rPr>
                <w:rFonts w:hint="eastAsia" w:ascii="黑体" w:hAnsi="黑体" w:eastAsia="黑体" w:cs="黑体"/>
                <w:sz w:val="24"/>
                <w:szCs w:val="24"/>
              </w:rPr>
              <w:t>职权名称</w:t>
            </w:r>
          </w:p>
        </w:tc>
        <w:tc>
          <w:tcPr>
            <w:tcW w:w="1365" w:type="dxa"/>
            <w:vAlign w:val="center"/>
          </w:tcPr>
          <w:p w14:paraId="7711D044">
            <w:pPr>
              <w:jc w:val="center"/>
              <w:rPr>
                <w:rFonts w:ascii="Calibri" w:hAnsi="Calibri" w:eastAsia="宋体" w:cs="Times New Roman"/>
                <w:sz w:val="24"/>
                <w:szCs w:val="24"/>
              </w:rPr>
            </w:pPr>
            <w:r>
              <w:rPr>
                <w:rFonts w:hint="eastAsia" w:ascii="黑体" w:hAnsi="黑体" w:eastAsia="黑体" w:cs="黑体"/>
                <w:sz w:val="24"/>
                <w:szCs w:val="24"/>
              </w:rPr>
              <w:t>职权类别</w:t>
            </w:r>
          </w:p>
        </w:tc>
      </w:tr>
      <w:tr w14:paraId="573A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77CAB79F">
            <w:pPr>
              <w:jc w:val="center"/>
              <w:rPr>
                <w:rFonts w:ascii="Calibri" w:hAnsi="Calibri" w:eastAsia="宋体" w:cs="Times New Roman"/>
                <w:sz w:val="24"/>
                <w:szCs w:val="24"/>
              </w:rPr>
            </w:pPr>
            <w:r>
              <w:rPr>
                <w:rFonts w:hint="eastAsia" w:ascii="仿宋_GB2312" w:hAnsi="仿宋_GB2312" w:eastAsia="仿宋_GB2312" w:cs="仿宋_GB2312"/>
                <w:b/>
                <w:bCs/>
                <w:sz w:val="24"/>
                <w:szCs w:val="24"/>
              </w:rPr>
              <w:t>一、行政许可（</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r>
              <w:rPr>
                <w:rFonts w:hint="eastAsia" w:ascii="仿宋_GB2312" w:hAnsi="仿宋_GB2312" w:eastAsia="仿宋_GB2312" w:cs="仿宋_GB2312"/>
                <w:sz w:val="24"/>
                <w:szCs w:val="24"/>
              </w:rPr>
              <w:t>）</w:t>
            </w:r>
          </w:p>
        </w:tc>
      </w:tr>
      <w:tr w14:paraId="5E6F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0D3F7B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690" w:type="dxa"/>
            <w:vAlign w:val="center"/>
          </w:tcPr>
          <w:p w14:paraId="10A48A65">
            <w:pPr>
              <w:jc w:val="left"/>
              <w:rPr>
                <w:rFonts w:ascii="仿宋_GB2312" w:hAnsi="仿宋_GB2312" w:eastAsia="仿宋_GB2312" w:cs="仿宋_GB2312"/>
                <w:sz w:val="24"/>
                <w:szCs w:val="24"/>
              </w:rPr>
            </w:pPr>
          </w:p>
        </w:tc>
        <w:tc>
          <w:tcPr>
            <w:tcW w:w="1365" w:type="dxa"/>
            <w:vAlign w:val="center"/>
          </w:tcPr>
          <w:p w14:paraId="57B87E0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r>
      <w:tr w14:paraId="41C8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3439D5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690" w:type="dxa"/>
            <w:vAlign w:val="center"/>
          </w:tcPr>
          <w:p w14:paraId="5E0163E2">
            <w:pPr>
              <w:jc w:val="left"/>
              <w:rPr>
                <w:rFonts w:ascii="仿宋_GB2312" w:hAnsi="仿宋_GB2312" w:eastAsia="仿宋_GB2312" w:cs="仿宋_GB2312"/>
                <w:sz w:val="24"/>
                <w:szCs w:val="24"/>
              </w:rPr>
            </w:pPr>
          </w:p>
        </w:tc>
        <w:tc>
          <w:tcPr>
            <w:tcW w:w="1365" w:type="dxa"/>
            <w:vAlign w:val="center"/>
          </w:tcPr>
          <w:p w14:paraId="201C8CA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r>
      <w:tr w14:paraId="4E5E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CEC1B9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p w14:paraId="54562E14">
            <w:pPr>
              <w:widowControl w:val="0"/>
              <w:spacing w:beforeAutospacing="1" w:afterAutospacing="1"/>
              <w:jc w:val="center"/>
              <w:rPr>
                <w:rFonts w:ascii="仿宋_GB2312" w:hAnsi="仿宋_GB2312" w:eastAsia="仿宋_GB2312" w:cs="仿宋_GB2312"/>
                <w:kern w:val="0"/>
                <w:sz w:val="24"/>
                <w:szCs w:val="22"/>
                <w:lang w:val="en-US" w:eastAsia="zh-CN" w:bidi="ar-SA"/>
              </w:rPr>
            </w:pPr>
          </w:p>
        </w:tc>
        <w:tc>
          <w:tcPr>
            <w:tcW w:w="6690" w:type="dxa"/>
            <w:vAlign w:val="center"/>
          </w:tcPr>
          <w:p w14:paraId="0795708F">
            <w:pPr>
              <w:jc w:val="left"/>
              <w:rPr>
                <w:rFonts w:ascii="仿宋_GB2312" w:hAnsi="仿宋_GB2312" w:eastAsia="仿宋_GB2312" w:cs="仿宋_GB2312"/>
                <w:sz w:val="24"/>
                <w:szCs w:val="24"/>
              </w:rPr>
            </w:pPr>
          </w:p>
        </w:tc>
        <w:tc>
          <w:tcPr>
            <w:tcW w:w="1365" w:type="dxa"/>
            <w:vAlign w:val="center"/>
          </w:tcPr>
          <w:p w14:paraId="628EBF8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r>
      <w:tr w14:paraId="24A4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BFFD45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w:t>
            </w:r>
          </w:p>
        </w:tc>
        <w:tc>
          <w:tcPr>
            <w:tcW w:w="6690" w:type="dxa"/>
            <w:vAlign w:val="center"/>
          </w:tcPr>
          <w:p w14:paraId="1B786E99">
            <w:pPr>
              <w:jc w:val="left"/>
              <w:rPr>
                <w:rFonts w:ascii="仿宋_GB2312" w:hAnsi="仿宋_GB2312" w:eastAsia="仿宋_GB2312" w:cs="仿宋_GB2312"/>
                <w:sz w:val="24"/>
                <w:szCs w:val="24"/>
              </w:rPr>
            </w:pPr>
          </w:p>
        </w:tc>
        <w:tc>
          <w:tcPr>
            <w:tcW w:w="1365" w:type="dxa"/>
            <w:vAlign w:val="center"/>
          </w:tcPr>
          <w:p w14:paraId="01A8E35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r>
      <w:tr w14:paraId="5AE2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742437D9">
            <w:pPr>
              <w:jc w:val="center"/>
              <w:rPr>
                <w:rFonts w:ascii="Calibri" w:hAnsi="Calibri" w:eastAsia="宋体" w:cs="Times New Roman"/>
                <w:sz w:val="24"/>
                <w:szCs w:val="24"/>
              </w:rPr>
            </w:pPr>
            <w:r>
              <w:rPr>
                <w:rFonts w:hint="eastAsia" w:ascii="仿宋_GB2312" w:hAnsi="仿宋_GB2312" w:eastAsia="仿宋_GB2312" w:cs="仿宋_GB2312"/>
                <w:b/>
                <w:bCs/>
                <w:sz w:val="24"/>
                <w:szCs w:val="24"/>
              </w:rPr>
              <w:t>二、行政处罚（</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0BF1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FFAE82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690" w:type="dxa"/>
            <w:vAlign w:val="center"/>
          </w:tcPr>
          <w:p w14:paraId="5D54E1BC">
            <w:pPr>
              <w:jc w:val="left"/>
              <w:rPr>
                <w:rFonts w:ascii="仿宋_GB2312" w:hAnsi="仿宋_GB2312" w:eastAsia="仿宋_GB2312" w:cs="仿宋_GB2312"/>
                <w:sz w:val="24"/>
                <w:szCs w:val="24"/>
              </w:rPr>
            </w:pPr>
          </w:p>
        </w:tc>
        <w:tc>
          <w:tcPr>
            <w:tcW w:w="1365" w:type="dxa"/>
            <w:vAlign w:val="center"/>
          </w:tcPr>
          <w:p w14:paraId="7526E5C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r>
      <w:tr w14:paraId="6C26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41046A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690" w:type="dxa"/>
            <w:vAlign w:val="center"/>
          </w:tcPr>
          <w:p w14:paraId="2106B3F1">
            <w:pPr>
              <w:jc w:val="left"/>
              <w:rPr>
                <w:rFonts w:ascii="仿宋_GB2312" w:hAnsi="仿宋_GB2312" w:eastAsia="仿宋_GB2312" w:cs="仿宋_GB2312"/>
                <w:sz w:val="24"/>
                <w:szCs w:val="24"/>
              </w:rPr>
            </w:pPr>
          </w:p>
        </w:tc>
        <w:tc>
          <w:tcPr>
            <w:tcW w:w="1365" w:type="dxa"/>
            <w:vAlign w:val="center"/>
          </w:tcPr>
          <w:p w14:paraId="161A995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r>
      <w:tr w14:paraId="1B8F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75C035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6690" w:type="dxa"/>
            <w:vAlign w:val="center"/>
          </w:tcPr>
          <w:p w14:paraId="1E01018C">
            <w:pPr>
              <w:jc w:val="left"/>
              <w:rPr>
                <w:rFonts w:ascii="仿宋_GB2312" w:hAnsi="仿宋_GB2312" w:eastAsia="仿宋_GB2312" w:cs="仿宋_GB2312"/>
                <w:sz w:val="24"/>
                <w:szCs w:val="24"/>
              </w:rPr>
            </w:pPr>
          </w:p>
        </w:tc>
        <w:tc>
          <w:tcPr>
            <w:tcW w:w="1365" w:type="dxa"/>
            <w:vAlign w:val="center"/>
          </w:tcPr>
          <w:p w14:paraId="0597F42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r>
      <w:tr w14:paraId="6E55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38C482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w:t>
            </w:r>
          </w:p>
        </w:tc>
        <w:tc>
          <w:tcPr>
            <w:tcW w:w="6690" w:type="dxa"/>
            <w:vAlign w:val="center"/>
          </w:tcPr>
          <w:p w14:paraId="472D206A">
            <w:pPr>
              <w:jc w:val="left"/>
              <w:rPr>
                <w:rFonts w:ascii="仿宋_GB2312" w:hAnsi="仿宋_GB2312" w:eastAsia="仿宋_GB2312" w:cs="仿宋_GB2312"/>
                <w:sz w:val="24"/>
                <w:szCs w:val="24"/>
              </w:rPr>
            </w:pPr>
          </w:p>
        </w:tc>
        <w:tc>
          <w:tcPr>
            <w:tcW w:w="1365" w:type="dxa"/>
            <w:vAlign w:val="center"/>
          </w:tcPr>
          <w:p w14:paraId="07B8D5F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r>
      <w:tr w14:paraId="760B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1BC84D4D">
            <w:pPr>
              <w:jc w:val="center"/>
              <w:rPr>
                <w:rFonts w:ascii="Calibri" w:hAnsi="Calibri" w:eastAsia="宋体" w:cs="Times New Roman"/>
                <w:sz w:val="24"/>
                <w:szCs w:val="24"/>
              </w:rPr>
            </w:pPr>
            <w:r>
              <w:rPr>
                <w:rFonts w:hint="eastAsia" w:ascii="仿宋_GB2312" w:hAnsi="仿宋_GB2312" w:eastAsia="仿宋_GB2312" w:cs="仿宋_GB2312"/>
                <w:b/>
                <w:bCs/>
                <w:sz w:val="24"/>
                <w:szCs w:val="24"/>
              </w:rPr>
              <w:t>三、行政强制（</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3FE9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7C02C800">
            <w:pPr>
              <w:jc w:val="center"/>
              <w:rPr>
                <w:rFonts w:ascii="Calibri" w:hAnsi="Calibri" w:eastAsia="宋体" w:cs="Times New Roman"/>
                <w:sz w:val="24"/>
                <w:szCs w:val="24"/>
              </w:rPr>
            </w:pPr>
            <w:r>
              <w:rPr>
                <w:rFonts w:hint="eastAsia" w:ascii="仿宋_GB2312" w:hAnsi="仿宋_GB2312" w:eastAsia="仿宋_GB2312" w:cs="仿宋_GB2312"/>
                <w:b/>
                <w:bCs/>
                <w:sz w:val="24"/>
                <w:szCs w:val="24"/>
              </w:rPr>
              <w:t>四、行政征收（</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053E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7C51D869">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五、行政给付（</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1524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330A451A">
            <w:pPr>
              <w:jc w:val="center"/>
              <w:rPr>
                <w:rFonts w:ascii="Calibri" w:hAnsi="Calibri" w:eastAsia="宋体" w:cs="Times New Roman"/>
                <w:sz w:val="24"/>
                <w:szCs w:val="24"/>
              </w:rPr>
            </w:pPr>
            <w:r>
              <w:rPr>
                <w:rFonts w:hint="eastAsia" w:ascii="仿宋_GB2312" w:hAnsi="仿宋_GB2312" w:eastAsia="仿宋_GB2312" w:cs="仿宋_GB2312"/>
                <w:b/>
                <w:bCs/>
                <w:sz w:val="24"/>
                <w:szCs w:val="24"/>
              </w:rPr>
              <w:t>六、行政检查（</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0F1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0967946E">
            <w:pPr>
              <w:jc w:val="center"/>
              <w:rPr>
                <w:rFonts w:ascii="Calibri" w:hAnsi="Calibri" w:eastAsia="宋体" w:cs="Times New Roman"/>
                <w:sz w:val="24"/>
                <w:szCs w:val="24"/>
              </w:rPr>
            </w:pPr>
            <w:r>
              <w:rPr>
                <w:rFonts w:hint="eastAsia" w:ascii="仿宋_GB2312" w:hAnsi="仿宋_GB2312" w:eastAsia="仿宋_GB2312" w:cs="仿宋_GB2312"/>
                <w:b/>
                <w:bCs/>
                <w:sz w:val="24"/>
                <w:szCs w:val="24"/>
              </w:rPr>
              <w:t>七、行政确认（</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0F7C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7DF90053">
            <w:pPr>
              <w:jc w:val="center"/>
              <w:rPr>
                <w:rFonts w:ascii="Calibri" w:hAnsi="Calibri" w:eastAsia="宋体" w:cs="Times New Roman"/>
                <w:sz w:val="24"/>
                <w:szCs w:val="24"/>
              </w:rPr>
            </w:pPr>
            <w:r>
              <w:rPr>
                <w:rFonts w:hint="eastAsia" w:ascii="仿宋_GB2312" w:hAnsi="仿宋_GB2312" w:eastAsia="仿宋_GB2312" w:cs="仿宋_GB2312"/>
                <w:b/>
                <w:bCs/>
                <w:sz w:val="24"/>
                <w:szCs w:val="24"/>
              </w:rPr>
              <w:t>八、行政裁决（</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1F94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3A94A515">
            <w:pPr>
              <w:jc w:val="center"/>
              <w:rPr>
                <w:rFonts w:ascii="Calibri" w:hAnsi="Calibri" w:eastAsia="宋体" w:cs="Times New Roman"/>
                <w:sz w:val="24"/>
                <w:szCs w:val="24"/>
              </w:rPr>
            </w:pPr>
            <w:r>
              <w:rPr>
                <w:rFonts w:hint="eastAsia" w:ascii="仿宋_GB2312" w:hAnsi="仿宋_GB2312" w:eastAsia="仿宋_GB2312" w:cs="仿宋_GB2312"/>
                <w:b/>
                <w:bCs/>
                <w:sz w:val="24"/>
                <w:szCs w:val="24"/>
              </w:rPr>
              <w:t>九、行政奖励（</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6380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790" w:type="dxa"/>
            <w:gridSpan w:val="3"/>
            <w:vAlign w:val="center"/>
          </w:tcPr>
          <w:p w14:paraId="46A5039C">
            <w:pPr>
              <w:jc w:val="center"/>
              <w:rPr>
                <w:rFonts w:ascii="Calibri" w:hAnsi="Calibri" w:eastAsia="宋体" w:cs="Times New Roman"/>
                <w:sz w:val="24"/>
                <w:szCs w:val="24"/>
              </w:rPr>
            </w:pPr>
            <w:r>
              <w:rPr>
                <w:rFonts w:hint="eastAsia" w:ascii="仿宋_GB2312" w:hAnsi="仿宋_GB2312" w:eastAsia="仿宋_GB2312" w:cs="仿宋_GB2312"/>
                <w:b/>
                <w:bCs/>
                <w:sz w:val="24"/>
                <w:szCs w:val="24"/>
              </w:rPr>
              <w:t>十、其他职权（</w:t>
            </w:r>
            <w:r>
              <w:rPr>
                <w:rFonts w:hint="eastAsia" w:ascii="仿宋_GB2312" w:hAnsi="仿宋_GB2312" w:eastAsia="仿宋_GB2312" w:cs="仿宋_GB2312"/>
                <w:b/>
                <w:bCs/>
                <w:sz w:val="24"/>
                <w:szCs w:val="24"/>
                <w:lang w:val="en-US" w:eastAsia="zh-CN"/>
              </w:rPr>
              <w:t>9</w:t>
            </w:r>
            <w:r>
              <w:rPr>
                <w:rFonts w:hint="eastAsia" w:ascii="仿宋_GB2312" w:hAnsi="仿宋_GB2312" w:eastAsia="仿宋_GB2312" w:cs="仿宋_GB2312"/>
                <w:b/>
                <w:bCs/>
                <w:sz w:val="24"/>
                <w:szCs w:val="24"/>
              </w:rPr>
              <w:t>项）</w:t>
            </w:r>
          </w:p>
        </w:tc>
      </w:tr>
      <w:tr w14:paraId="2B67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790" w:type="dxa"/>
            <w:gridSpan w:val="3"/>
            <w:vAlign w:val="center"/>
          </w:tcPr>
          <w:p w14:paraId="69D00F00">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省先进制造业发展专项资金项目申报</w:t>
            </w:r>
          </w:p>
        </w:tc>
      </w:tr>
      <w:tr w14:paraId="7360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790" w:type="dxa"/>
            <w:gridSpan w:val="3"/>
            <w:vAlign w:val="center"/>
          </w:tcPr>
          <w:p w14:paraId="2E3D4627">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省新型工业化产业示范基地申报</w:t>
            </w:r>
          </w:p>
        </w:tc>
      </w:tr>
      <w:tr w14:paraId="5301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790" w:type="dxa"/>
            <w:gridSpan w:val="3"/>
            <w:vAlign w:val="center"/>
          </w:tcPr>
          <w:p w14:paraId="2E3D36EA">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省级工业新产业综合评价</w:t>
            </w:r>
          </w:p>
        </w:tc>
      </w:tr>
      <w:tr w14:paraId="74D2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790" w:type="dxa"/>
            <w:gridSpan w:val="3"/>
            <w:vAlign w:val="center"/>
          </w:tcPr>
          <w:p w14:paraId="5B9ED562">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国家中小企业发展专项资金项目初审</w:t>
            </w:r>
          </w:p>
        </w:tc>
      </w:tr>
      <w:tr w14:paraId="01E5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790" w:type="dxa"/>
            <w:gridSpan w:val="3"/>
            <w:vAlign w:val="center"/>
          </w:tcPr>
          <w:p w14:paraId="637FEEB4">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国家及省级技术创新示范企业认定申报</w:t>
            </w:r>
          </w:p>
        </w:tc>
      </w:tr>
      <w:tr w14:paraId="054C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790" w:type="dxa"/>
            <w:gridSpan w:val="3"/>
            <w:vAlign w:val="center"/>
          </w:tcPr>
          <w:p w14:paraId="76A67F8E">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省级智能工厂、智能车间申报</w:t>
            </w:r>
          </w:p>
        </w:tc>
      </w:tr>
      <w:tr w14:paraId="460A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790" w:type="dxa"/>
            <w:gridSpan w:val="3"/>
            <w:vAlign w:val="center"/>
          </w:tcPr>
          <w:p w14:paraId="79BB8549">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国家级和省级绿色工厂、绿色园区申报</w:t>
            </w:r>
          </w:p>
        </w:tc>
      </w:tr>
      <w:tr w14:paraId="1EC4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790" w:type="dxa"/>
            <w:gridSpan w:val="3"/>
            <w:vAlign w:val="center"/>
          </w:tcPr>
          <w:p w14:paraId="08331A7F">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河南省制造业创新中心申报</w:t>
            </w:r>
          </w:p>
        </w:tc>
      </w:tr>
      <w:tr w14:paraId="408B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790" w:type="dxa"/>
            <w:gridSpan w:val="3"/>
            <w:vAlign w:val="center"/>
          </w:tcPr>
          <w:p w14:paraId="6244CB12">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落后产能的认定，组织实施淘汰</w:t>
            </w:r>
          </w:p>
        </w:tc>
      </w:tr>
    </w:tbl>
    <w:p w14:paraId="5E20B431"/>
    <w:p w14:paraId="6F795D39"/>
    <w:p w14:paraId="7C9AECC1"/>
    <w:p w14:paraId="46A6372E"/>
    <w:p w14:paraId="28B1530C"/>
    <w:p w14:paraId="7565CFC6"/>
    <w:p w14:paraId="1C08361D"/>
    <w:p w14:paraId="2CFFC2D4"/>
    <w:p w14:paraId="42E5C890"/>
    <w:p w14:paraId="6BAF0623"/>
    <w:p w14:paraId="12535BBF"/>
    <w:p w14:paraId="40A874D0"/>
    <w:p w14:paraId="0D34B800"/>
    <w:p w14:paraId="65A99AD0"/>
    <w:p w14:paraId="4AAA4D4F"/>
    <w:p w14:paraId="6C351F15"/>
    <w:p w14:paraId="36E7D2DF"/>
    <w:p w14:paraId="1DA77153"/>
    <w:p w14:paraId="7A64AB12"/>
    <w:p w14:paraId="619E1AEC"/>
    <w:p w14:paraId="6B0B0574"/>
    <w:p w14:paraId="26A58946"/>
    <w:p w14:paraId="3EDE3E71"/>
    <w:p w14:paraId="29344A2C"/>
    <w:p w14:paraId="6FCE75F7"/>
    <w:p w14:paraId="438291C4">
      <w:pPr>
        <w:jc w:val="center"/>
        <w:rPr>
          <w:rFonts w:hint="eastAsia" w:asciiTheme="majorEastAsia" w:hAnsiTheme="majorEastAsia" w:eastAsiaTheme="majorEastAsia" w:cstheme="majorEastAsia"/>
          <w:b/>
          <w:bCs/>
          <w:sz w:val="32"/>
          <w:szCs w:val="32"/>
          <w:lang w:val="en-US" w:eastAsia="zh-CN"/>
        </w:rPr>
        <w:sectPr>
          <w:pgSz w:w="11906" w:h="16838"/>
          <w:pgMar w:top="1440" w:right="1800" w:bottom="1440" w:left="1800" w:header="851" w:footer="992" w:gutter="0"/>
          <w:cols w:space="425" w:num="1"/>
          <w:docGrid w:type="lines" w:linePitch="312" w:charSpace="0"/>
        </w:sectPr>
      </w:pPr>
    </w:p>
    <w:p w14:paraId="68EBFCD4">
      <w:pPr>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南召县工信局保留的权责清单</w:t>
      </w: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800"/>
        <w:gridCol w:w="1290"/>
        <w:gridCol w:w="2070"/>
        <w:gridCol w:w="2295"/>
        <w:gridCol w:w="1425"/>
        <w:gridCol w:w="3165"/>
      </w:tblGrid>
      <w:tr w14:paraId="640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CB16EEC">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1065" w:type="dxa"/>
          </w:tcPr>
          <w:p w14:paraId="4DB4F7B7">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项目名称</w:t>
            </w:r>
          </w:p>
        </w:tc>
        <w:tc>
          <w:tcPr>
            <w:tcW w:w="1800" w:type="dxa"/>
          </w:tcPr>
          <w:p w14:paraId="6C9B0FE0">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实施依据</w:t>
            </w:r>
          </w:p>
        </w:tc>
        <w:tc>
          <w:tcPr>
            <w:tcW w:w="1290" w:type="dxa"/>
          </w:tcPr>
          <w:p w14:paraId="646B66CA">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职权类别</w:t>
            </w:r>
          </w:p>
        </w:tc>
        <w:tc>
          <w:tcPr>
            <w:tcW w:w="2070" w:type="dxa"/>
          </w:tcPr>
          <w:p w14:paraId="1E24E326">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办理环节</w:t>
            </w:r>
          </w:p>
        </w:tc>
        <w:tc>
          <w:tcPr>
            <w:tcW w:w="2295" w:type="dxa"/>
          </w:tcPr>
          <w:p w14:paraId="2CF77DB0">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责任事项</w:t>
            </w:r>
          </w:p>
        </w:tc>
        <w:tc>
          <w:tcPr>
            <w:tcW w:w="1425" w:type="dxa"/>
          </w:tcPr>
          <w:p w14:paraId="07A7BAA0">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追责情形</w:t>
            </w:r>
          </w:p>
        </w:tc>
        <w:tc>
          <w:tcPr>
            <w:tcW w:w="3165" w:type="dxa"/>
          </w:tcPr>
          <w:p w14:paraId="2B2D2052">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责任科室</w:t>
            </w:r>
          </w:p>
        </w:tc>
      </w:tr>
      <w:tr w14:paraId="2F2D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065" w:type="dxa"/>
            <w:vAlign w:val="center"/>
          </w:tcPr>
          <w:p w14:paraId="791C410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065" w:type="dxa"/>
            <w:vAlign w:val="center"/>
          </w:tcPr>
          <w:p w14:paraId="019FC2F6">
            <w:pPr>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省先进制造业发展专项资金项目申报</w:t>
            </w:r>
          </w:p>
        </w:tc>
        <w:tc>
          <w:tcPr>
            <w:tcW w:w="1800" w:type="dxa"/>
            <w:vAlign w:val="center"/>
          </w:tcPr>
          <w:p w14:paraId="40FACCF3">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豫工信联规（2022）101号</w:t>
            </w:r>
          </w:p>
        </w:tc>
        <w:tc>
          <w:tcPr>
            <w:tcW w:w="1290" w:type="dxa"/>
            <w:vAlign w:val="center"/>
          </w:tcPr>
          <w:p w14:paraId="6A8E938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其他职权</w:t>
            </w:r>
          </w:p>
        </w:tc>
        <w:tc>
          <w:tcPr>
            <w:tcW w:w="2070" w:type="dxa"/>
            <w:vAlign w:val="center"/>
          </w:tcPr>
          <w:p w14:paraId="19D0AD2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收集资料、初审上报</w:t>
            </w:r>
          </w:p>
        </w:tc>
        <w:tc>
          <w:tcPr>
            <w:tcW w:w="2295" w:type="dxa"/>
            <w:vAlign w:val="center"/>
          </w:tcPr>
          <w:p w14:paraId="6F10B1A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监管绩效达标情况</w:t>
            </w:r>
          </w:p>
        </w:tc>
        <w:tc>
          <w:tcPr>
            <w:tcW w:w="1425" w:type="dxa"/>
            <w:vAlign w:val="center"/>
          </w:tcPr>
          <w:p w14:paraId="0C68ED91">
            <w:pPr>
              <w:jc w:val="center"/>
              <w:rPr>
                <w:rFonts w:hint="eastAsia" w:ascii="仿宋_GB2312" w:hAnsi="仿宋_GB2312" w:eastAsia="仿宋_GB2312" w:cs="仿宋_GB2312"/>
                <w:sz w:val="24"/>
                <w:szCs w:val="24"/>
              </w:rPr>
            </w:pPr>
          </w:p>
        </w:tc>
        <w:tc>
          <w:tcPr>
            <w:tcW w:w="3165" w:type="dxa"/>
            <w:vAlign w:val="center"/>
          </w:tcPr>
          <w:p w14:paraId="69DAB09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县工信局规划股</w:t>
            </w:r>
          </w:p>
          <w:p w14:paraId="049562C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企业服务股</w:t>
            </w:r>
          </w:p>
          <w:p w14:paraId="5213A39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信息化办</w:t>
            </w:r>
          </w:p>
          <w:p w14:paraId="41E287C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环境整治办</w:t>
            </w:r>
          </w:p>
        </w:tc>
      </w:tr>
      <w:tr w14:paraId="3A78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065" w:type="dxa"/>
            <w:vAlign w:val="center"/>
          </w:tcPr>
          <w:p w14:paraId="76D15A9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065" w:type="dxa"/>
            <w:vAlign w:val="center"/>
          </w:tcPr>
          <w:p w14:paraId="37E0BC4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省新型工业化产业示范基地申报</w:t>
            </w:r>
          </w:p>
        </w:tc>
        <w:tc>
          <w:tcPr>
            <w:tcW w:w="1800" w:type="dxa"/>
            <w:vAlign w:val="center"/>
          </w:tcPr>
          <w:p w14:paraId="1C802DB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《河南省人民政府办公厅转发河南省创建新型工业化企业示范基地实施意见的通知》（豫政办2009 161号文件）</w:t>
            </w:r>
          </w:p>
        </w:tc>
        <w:tc>
          <w:tcPr>
            <w:tcW w:w="1290" w:type="dxa"/>
            <w:vAlign w:val="center"/>
          </w:tcPr>
          <w:p w14:paraId="20E8309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其他职权</w:t>
            </w:r>
          </w:p>
        </w:tc>
        <w:tc>
          <w:tcPr>
            <w:tcW w:w="2070" w:type="dxa"/>
            <w:vAlign w:val="center"/>
          </w:tcPr>
          <w:p w14:paraId="5A784AC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收集资料、初审上报</w:t>
            </w:r>
          </w:p>
        </w:tc>
        <w:tc>
          <w:tcPr>
            <w:tcW w:w="2295" w:type="dxa"/>
            <w:vAlign w:val="center"/>
          </w:tcPr>
          <w:p w14:paraId="38C1540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监管建设实施情况</w:t>
            </w:r>
          </w:p>
        </w:tc>
        <w:tc>
          <w:tcPr>
            <w:tcW w:w="1425" w:type="dxa"/>
            <w:vAlign w:val="center"/>
          </w:tcPr>
          <w:p w14:paraId="0601BDD1">
            <w:pPr>
              <w:jc w:val="center"/>
              <w:rPr>
                <w:rFonts w:hint="eastAsia" w:ascii="仿宋_GB2312" w:hAnsi="仿宋_GB2312" w:eastAsia="仿宋_GB2312" w:cs="仿宋_GB2312"/>
                <w:sz w:val="24"/>
                <w:szCs w:val="24"/>
              </w:rPr>
            </w:pPr>
          </w:p>
        </w:tc>
        <w:tc>
          <w:tcPr>
            <w:tcW w:w="3165" w:type="dxa"/>
            <w:vAlign w:val="center"/>
          </w:tcPr>
          <w:p w14:paraId="5865A80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县工信局规划股</w:t>
            </w:r>
          </w:p>
        </w:tc>
      </w:tr>
      <w:tr w14:paraId="1D58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065" w:type="dxa"/>
            <w:vAlign w:val="center"/>
          </w:tcPr>
          <w:p w14:paraId="328C8B1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065" w:type="dxa"/>
            <w:vAlign w:val="center"/>
          </w:tcPr>
          <w:p w14:paraId="25156C8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省级工业新产业综合评价</w:t>
            </w:r>
          </w:p>
        </w:tc>
        <w:tc>
          <w:tcPr>
            <w:tcW w:w="1800" w:type="dxa"/>
            <w:vAlign w:val="center"/>
          </w:tcPr>
          <w:p w14:paraId="291422B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河南省工业新产品综合评价办法（试行）</w:t>
            </w:r>
          </w:p>
        </w:tc>
        <w:tc>
          <w:tcPr>
            <w:tcW w:w="1290" w:type="dxa"/>
            <w:vAlign w:val="center"/>
          </w:tcPr>
          <w:p w14:paraId="6311BDF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其他职权</w:t>
            </w:r>
          </w:p>
        </w:tc>
        <w:tc>
          <w:tcPr>
            <w:tcW w:w="2070" w:type="dxa"/>
            <w:vAlign w:val="center"/>
          </w:tcPr>
          <w:p w14:paraId="77CBCB0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新产品研发单位将新产品研发内容、计划进度等录入“河南省工业新产品综合评价网上办理系统”，县级工信部门初审在线报工信厅。新产品研发任务完成后1年内申请新产品综合评价（认定），工信厅发放证书</w:t>
            </w:r>
          </w:p>
        </w:tc>
        <w:tc>
          <w:tcPr>
            <w:tcW w:w="2295" w:type="dxa"/>
            <w:vAlign w:val="center"/>
          </w:tcPr>
          <w:p w14:paraId="61CA4F8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《河南省工业新产品综合评价办法（试行）》</w:t>
            </w:r>
          </w:p>
        </w:tc>
        <w:tc>
          <w:tcPr>
            <w:tcW w:w="1425" w:type="dxa"/>
            <w:vAlign w:val="center"/>
          </w:tcPr>
          <w:p w14:paraId="5EAE4CB5">
            <w:pPr>
              <w:jc w:val="center"/>
              <w:rPr>
                <w:rFonts w:hint="eastAsia" w:ascii="仿宋_GB2312" w:hAnsi="仿宋_GB2312" w:eastAsia="仿宋_GB2312" w:cs="仿宋_GB2312"/>
                <w:sz w:val="24"/>
                <w:szCs w:val="24"/>
              </w:rPr>
            </w:pPr>
          </w:p>
        </w:tc>
        <w:tc>
          <w:tcPr>
            <w:tcW w:w="3165" w:type="dxa"/>
            <w:vAlign w:val="center"/>
          </w:tcPr>
          <w:p w14:paraId="4871C4C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县工信局信息化办</w:t>
            </w:r>
          </w:p>
        </w:tc>
      </w:tr>
      <w:tr w14:paraId="60B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065" w:type="dxa"/>
            <w:vAlign w:val="center"/>
          </w:tcPr>
          <w:p w14:paraId="6CF9588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065" w:type="dxa"/>
            <w:vAlign w:val="center"/>
          </w:tcPr>
          <w:p w14:paraId="2E32A3F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国家中小企业发展专项资金项目初审</w:t>
            </w:r>
          </w:p>
        </w:tc>
        <w:tc>
          <w:tcPr>
            <w:tcW w:w="1800" w:type="dxa"/>
            <w:vAlign w:val="center"/>
          </w:tcPr>
          <w:p w14:paraId="171F7F7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财建（2015）458号文件</w:t>
            </w:r>
          </w:p>
        </w:tc>
        <w:tc>
          <w:tcPr>
            <w:tcW w:w="1290" w:type="dxa"/>
            <w:vAlign w:val="center"/>
          </w:tcPr>
          <w:p w14:paraId="426ECEF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其他职权</w:t>
            </w:r>
          </w:p>
        </w:tc>
        <w:tc>
          <w:tcPr>
            <w:tcW w:w="2070" w:type="dxa"/>
            <w:vAlign w:val="center"/>
          </w:tcPr>
          <w:p w14:paraId="654E634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收集资料、初审上报</w:t>
            </w:r>
          </w:p>
        </w:tc>
        <w:tc>
          <w:tcPr>
            <w:tcW w:w="2295" w:type="dxa"/>
            <w:vAlign w:val="center"/>
          </w:tcPr>
          <w:p w14:paraId="39F4A6A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监管绩效达标情况</w:t>
            </w:r>
          </w:p>
        </w:tc>
        <w:tc>
          <w:tcPr>
            <w:tcW w:w="1425" w:type="dxa"/>
            <w:vAlign w:val="center"/>
          </w:tcPr>
          <w:p w14:paraId="2A8510C8">
            <w:pPr>
              <w:jc w:val="center"/>
              <w:rPr>
                <w:rFonts w:hint="eastAsia" w:ascii="仿宋_GB2312" w:hAnsi="仿宋_GB2312" w:eastAsia="仿宋_GB2312" w:cs="仿宋_GB2312"/>
                <w:sz w:val="24"/>
                <w:szCs w:val="24"/>
              </w:rPr>
            </w:pPr>
          </w:p>
        </w:tc>
        <w:tc>
          <w:tcPr>
            <w:tcW w:w="3165" w:type="dxa"/>
            <w:vAlign w:val="center"/>
          </w:tcPr>
          <w:p w14:paraId="5160DC7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县工信局企业服务股</w:t>
            </w:r>
          </w:p>
        </w:tc>
      </w:tr>
      <w:tr w14:paraId="0B57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065" w:type="dxa"/>
            <w:vAlign w:val="center"/>
          </w:tcPr>
          <w:p w14:paraId="0F56C68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065" w:type="dxa"/>
            <w:vAlign w:val="center"/>
          </w:tcPr>
          <w:p w14:paraId="46CD368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国家及省级技术创新示范企业认定申报</w:t>
            </w:r>
          </w:p>
        </w:tc>
        <w:tc>
          <w:tcPr>
            <w:tcW w:w="1800" w:type="dxa"/>
            <w:vAlign w:val="center"/>
          </w:tcPr>
          <w:p w14:paraId="2F9738B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河南省技术创新示范企业认定工作实施方案（试行）</w:t>
            </w:r>
          </w:p>
        </w:tc>
        <w:tc>
          <w:tcPr>
            <w:tcW w:w="1290" w:type="dxa"/>
            <w:vAlign w:val="center"/>
          </w:tcPr>
          <w:p w14:paraId="5EF776D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其他职权</w:t>
            </w:r>
          </w:p>
        </w:tc>
        <w:tc>
          <w:tcPr>
            <w:tcW w:w="2070" w:type="dxa"/>
            <w:vAlign w:val="center"/>
          </w:tcPr>
          <w:p w14:paraId="2BCBB3C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收集资料、初审上报</w:t>
            </w:r>
          </w:p>
        </w:tc>
        <w:tc>
          <w:tcPr>
            <w:tcW w:w="2295" w:type="dxa"/>
            <w:vAlign w:val="center"/>
          </w:tcPr>
          <w:p w14:paraId="039A98D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《河南省技术创新示范企业认定工作实施方案（试行）》实施</w:t>
            </w:r>
          </w:p>
        </w:tc>
        <w:tc>
          <w:tcPr>
            <w:tcW w:w="1425" w:type="dxa"/>
            <w:vAlign w:val="center"/>
          </w:tcPr>
          <w:p w14:paraId="651C1DB4">
            <w:pPr>
              <w:jc w:val="center"/>
              <w:rPr>
                <w:rFonts w:hint="eastAsia" w:ascii="仿宋_GB2312" w:hAnsi="仿宋_GB2312" w:eastAsia="仿宋_GB2312" w:cs="仿宋_GB2312"/>
                <w:sz w:val="24"/>
                <w:szCs w:val="24"/>
              </w:rPr>
            </w:pPr>
          </w:p>
        </w:tc>
        <w:tc>
          <w:tcPr>
            <w:tcW w:w="3165" w:type="dxa"/>
            <w:vAlign w:val="center"/>
          </w:tcPr>
          <w:p w14:paraId="7CE64373">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县工信局信息化办</w:t>
            </w:r>
          </w:p>
        </w:tc>
      </w:tr>
      <w:tr w14:paraId="54FC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065" w:type="dxa"/>
            <w:vAlign w:val="center"/>
          </w:tcPr>
          <w:p w14:paraId="633AE27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065" w:type="dxa"/>
            <w:vAlign w:val="center"/>
          </w:tcPr>
          <w:p w14:paraId="480B5A2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省级智能工厂、智能车间申报</w:t>
            </w:r>
          </w:p>
        </w:tc>
        <w:tc>
          <w:tcPr>
            <w:tcW w:w="1800" w:type="dxa"/>
            <w:vAlign w:val="center"/>
          </w:tcPr>
          <w:p w14:paraId="09375C4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豫工信办数字（2023）23号</w:t>
            </w:r>
          </w:p>
        </w:tc>
        <w:tc>
          <w:tcPr>
            <w:tcW w:w="1290" w:type="dxa"/>
            <w:vAlign w:val="center"/>
          </w:tcPr>
          <w:p w14:paraId="551DC16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其他职权</w:t>
            </w:r>
          </w:p>
        </w:tc>
        <w:tc>
          <w:tcPr>
            <w:tcW w:w="2070" w:type="dxa"/>
            <w:vAlign w:val="center"/>
          </w:tcPr>
          <w:p w14:paraId="0134ADF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申报单位将相关材料录入“河南省智能制造服务平台”，县级工信部门在线初核后报在线上报</w:t>
            </w:r>
          </w:p>
        </w:tc>
        <w:tc>
          <w:tcPr>
            <w:tcW w:w="2295" w:type="dxa"/>
            <w:vAlign w:val="center"/>
          </w:tcPr>
          <w:p w14:paraId="76A0D50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绩效监管</w:t>
            </w:r>
          </w:p>
        </w:tc>
        <w:tc>
          <w:tcPr>
            <w:tcW w:w="1425" w:type="dxa"/>
            <w:vAlign w:val="center"/>
          </w:tcPr>
          <w:p w14:paraId="29DB7681">
            <w:pPr>
              <w:jc w:val="center"/>
              <w:rPr>
                <w:rFonts w:hint="eastAsia" w:ascii="仿宋_GB2312" w:hAnsi="仿宋_GB2312" w:eastAsia="仿宋_GB2312" w:cs="仿宋_GB2312"/>
                <w:sz w:val="24"/>
                <w:szCs w:val="24"/>
              </w:rPr>
            </w:pPr>
          </w:p>
        </w:tc>
        <w:tc>
          <w:tcPr>
            <w:tcW w:w="3165" w:type="dxa"/>
            <w:vAlign w:val="center"/>
          </w:tcPr>
          <w:p w14:paraId="12C8509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县工信局信息化办</w:t>
            </w:r>
          </w:p>
        </w:tc>
      </w:tr>
      <w:tr w14:paraId="611D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065" w:type="dxa"/>
            <w:vAlign w:val="center"/>
          </w:tcPr>
          <w:p w14:paraId="2F38843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065" w:type="dxa"/>
            <w:vAlign w:val="center"/>
          </w:tcPr>
          <w:p w14:paraId="3356D91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国家级和省级绿色工厂、绿色园区申报</w:t>
            </w:r>
          </w:p>
        </w:tc>
        <w:tc>
          <w:tcPr>
            <w:tcW w:w="1800" w:type="dxa"/>
            <w:vAlign w:val="center"/>
          </w:tcPr>
          <w:p w14:paraId="53FB9B6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豫工信办节（2023）16号</w:t>
            </w:r>
          </w:p>
        </w:tc>
        <w:tc>
          <w:tcPr>
            <w:tcW w:w="1290" w:type="dxa"/>
            <w:vAlign w:val="center"/>
          </w:tcPr>
          <w:p w14:paraId="2D3ED3B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其他职权</w:t>
            </w:r>
          </w:p>
        </w:tc>
        <w:tc>
          <w:tcPr>
            <w:tcW w:w="2070" w:type="dxa"/>
            <w:vAlign w:val="center"/>
          </w:tcPr>
          <w:p w14:paraId="0CAC346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收集资料、初审上报</w:t>
            </w:r>
          </w:p>
        </w:tc>
        <w:tc>
          <w:tcPr>
            <w:tcW w:w="2295" w:type="dxa"/>
            <w:vAlign w:val="center"/>
          </w:tcPr>
          <w:p w14:paraId="2E62631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依据《绿色工厂评价通则》及省级工信厅相关文件进行初审</w:t>
            </w:r>
          </w:p>
        </w:tc>
        <w:tc>
          <w:tcPr>
            <w:tcW w:w="1425" w:type="dxa"/>
            <w:vAlign w:val="center"/>
          </w:tcPr>
          <w:p w14:paraId="72B3FF40">
            <w:pPr>
              <w:jc w:val="center"/>
              <w:rPr>
                <w:rFonts w:hint="eastAsia" w:ascii="仿宋_GB2312" w:hAnsi="仿宋_GB2312" w:eastAsia="仿宋_GB2312" w:cs="仿宋_GB2312"/>
                <w:sz w:val="24"/>
                <w:szCs w:val="24"/>
              </w:rPr>
            </w:pPr>
          </w:p>
        </w:tc>
        <w:tc>
          <w:tcPr>
            <w:tcW w:w="3165" w:type="dxa"/>
            <w:vAlign w:val="center"/>
          </w:tcPr>
          <w:p w14:paraId="4F41F33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县工信局环境整治办</w:t>
            </w:r>
          </w:p>
        </w:tc>
      </w:tr>
      <w:tr w14:paraId="07BC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065" w:type="dxa"/>
            <w:vAlign w:val="center"/>
          </w:tcPr>
          <w:p w14:paraId="38BA28B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065" w:type="dxa"/>
            <w:vAlign w:val="center"/>
          </w:tcPr>
          <w:p w14:paraId="2957C35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河南省制造业创新中心申报</w:t>
            </w:r>
          </w:p>
        </w:tc>
        <w:tc>
          <w:tcPr>
            <w:tcW w:w="1800" w:type="dxa"/>
            <w:vAlign w:val="center"/>
          </w:tcPr>
          <w:p w14:paraId="4EACF1B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豫工信联规（2022）101号</w:t>
            </w:r>
          </w:p>
        </w:tc>
        <w:tc>
          <w:tcPr>
            <w:tcW w:w="1290" w:type="dxa"/>
            <w:vAlign w:val="center"/>
          </w:tcPr>
          <w:p w14:paraId="7856B88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其他职权</w:t>
            </w:r>
          </w:p>
        </w:tc>
        <w:tc>
          <w:tcPr>
            <w:tcW w:w="2070" w:type="dxa"/>
            <w:vAlign w:val="center"/>
          </w:tcPr>
          <w:p w14:paraId="287DFF0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收集资料、初审上报</w:t>
            </w:r>
          </w:p>
        </w:tc>
        <w:tc>
          <w:tcPr>
            <w:tcW w:w="2295" w:type="dxa"/>
            <w:vAlign w:val="center"/>
          </w:tcPr>
          <w:p w14:paraId="35DC9F2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根据《河南省制造业创新中心建设工作实施方案》、《河南省创新中心考核评估办法（试行）》要求监管</w:t>
            </w:r>
          </w:p>
        </w:tc>
        <w:tc>
          <w:tcPr>
            <w:tcW w:w="1425" w:type="dxa"/>
            <w:vAlign w:val="center"/>
          </w:tcPr>
          <w:p w14:paraId="7DE5621D">
            <w:pPr>
              <w:jc w:val="center"/>
              <w:rPr>
                <w:rFonts w:hint="eastAsia" w:ascii="仿宋_GB2312" w:hAnsi="仿宋_GB2312" w:eastAsia="仿宋_GB2312" w:cs="仿宋_GB2312"/>
                <w:sz w:val="24"/>
                <w:szCs w:val="24"/>
              </w:rPr>
            </w:pPr>
          </w:p>
        </w:tc>
        <w:tc>
          <w:tcPr>
            <w:tcW w:w="3165" w:type="dxa"/>
            <w:vAlign w:val="center"/>
          </w:tcPr>
          <w:p w14:paraId="2854601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局信息化办</w:t>
            </w:r>
          </w:p>
        </w:tc>
      </w:tr>
      <w:tr w14:paraId="0822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065" w:type="dxa"/>
            <w:vAlign w:val="center"/>
          </w:tcPr>
          <w:p w14:paraId="5AE4436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065" w:type="dxa"/>
            <w:vAlign w:val="center"/>
          </w:tcPr>
          <w:p w14:paraId="5EC05C1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落后产能的认定，组织实施淘汰</w:t>
            </w:r>
          </w:p>
        </w:tc>
        <w:tc>
          <w:tcPr>
            <w:tcW w:w="1800" w:type="dxa"/>
            <w:vAlign w:val="center"/>
          </w:tcPr>
          <w:p w14:paraId="2C113A13">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工信部联产业（2017）30号和豫淘汰落后办（2020）4号</w:t>
            </w:r>
          </w:p>
        </w:tc>
        <w:tc>
          <w:tcPr>
            <w:tcW w:w="1290" w:type="dxa"/>
            <w:vAlign w:val="center"/>
          </w:tcPr>
          <w:p w14:paraId="78EA161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其他职权</w:t>
            </w:r>
          </w:p>
        </w:tc>
        <w:tc>
          <w:tcPr>
            <w:tcW w:w="2070" w:type="dxa"/>
            <w:vAlign w:val="center"/>
          </w:tcPr>
          <w:p w14:paraId="7F9F0DE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全面排查、上报计划</w:t>
            </w:r>
          </w:p>
        </w:tc>
        <w:tc>
          <w:tcPr>
            <w:tcW w:w="2295" w:type="dxa"/>
            <w:vAlign w:val="center"/>
          </w:tcPr>
          <w:p w14:paraId="79D70A7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严格按照文件落实</w:t>
            </w:r>
          </w:p>
        </w:tc>
        <w:tc>
          <w:tcPr>
            <w:tcW w:w="1425" w:type="dxa"/>
            <w:vAlign w:val="center"/>
          </w:tcPr>
          <w:p w14:paraId="62C8F20D">
            <w:pPr>
              <w:jc w:val="center"/>
              <w:rPr>
                <w:rFonts w:hint="eastAsia" w:ascii="仿宋_GB2312" w:hAnsi="仿宋_GB2312" w:eastAsia="仿宋_GB2312" w:cs="仿宋_GB2312"/>
                <w:sz w:val="24"/>
                <w:szCs w:val="24"/>
              </w:rPr>
            </w:pPr>
          </w:p>
        </w:tc>
        <w:tc>
          <w:tcPr>
            <w:tcW w:w="3165" w:type="dxa"/>
            <w:vAlign w:val="center"/>
          </w:tcPr>
          <w:p w14:paraId="7B580D4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县工信局规划股</w:t>
            </w:r>
          </w:p>
          <w:p w14:paraId="3DE3DA9A">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县工信局环境整治办</w:t>
            </w:r>
          </w:p>
        </w:tc>
      </w:tr>
      <w:tr w14:paraId="5EF6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4175" w:type="dxa"/>
            <w:gridSpan w:val="8"/>
          </w:tcPr>
          <w:p w14:paraId="69DEA280">
            <w:pPr>
              <w:jc w:val="both"/>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服务电话：0377-66908809            投诉机构：                            投诉电话：</w:t>
            </w:r>
          </w:p>
        </w:tc>
      </w:tr>
      <w:tr w14:paraId="35D2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gridSpan w:val="8"/>
          </w:tcPr>
          <w:p w14:paraId="1DB8D787">
            <w:pPr>
              <w:jc w:val="both"/>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受理地点：南召县行政审批服务中心东楼9楼</w:t>
            </w:r>
          </w:p>
        </w:tc>
      </w:tr>
    </w:tbl>
    <w:p w14:paraId="1A183A1D"/>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大标宋_GBK">
    <w:altName w:val="方正书宋_GBK"/>
    <w:panose1 w:val="00000000000000000000"/>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MDFkYWJjZDNkMDVhNTBhYmU0NmEyOWI0M2M1Y2YifQ=="/>
  </w:docVars>
  <w:rsids>
    <w:rsidRoot w:val="01711BC6"/>
    <w:rsid w:val="01711BC6"/>
    <w:rsid w:val="12431BFE"/>
    <w:rsid w:val="23A06728"/>
    <w:rsid w:val="56F62D27"/>
    <w:rsid w:val="5C2A3840"/>
    <w:rsid w:val="775E5A5C"/>
    <w:rsid w:val="780600CD"/>
    <w:rsid w:val="79D76BA5"/>
    <w:rsid w:val="BDFD1589"/>
    <w:rsid w:val="FFFB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1353</Words>
  <Characters>1391</Characters>
  <Lines>0</Lines>
  <Paragraphs>0</Paragraphs>
  <TotalTime>380</TotalTime>
  <ScaleCrop>false</ScaleCrop>
  <LinksUpToDate>false</LinksUpToDate>
  <CharactersWithSpaces>1433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2023-09-02T08:15:00Z</dcterms:created>
  <dc:creator>李可乖吧</dc:creator>
  <cp:lastModifiedBy>wsy</cp:lastModifiedBy>
  <cp:lastPrinted>2025-11-01T07:42:00Z</cp:lastPrinted>
  <dcterms:modified xsi:type="dcterms:W3CDTF">2025-12-12T10:00:43Z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26853885BE7645C394E288E1DE66FA4F_13</vt:lpwstr>
  </property>
  <property fmtid="{D5CDD505-2E9C-101B-9397-08002B2CF9AE}" pid="4" name="KSOTemplateDocerSaveRecord">
    <vt:lpwstr>eyJoZGlkIjoiNTY0YTIzM2U5MzBjNDcwYTViOGYwOGE0NWE5NDE2MzIiLCJ1c2VySWQiOiIxMTI1MDgzMzE4In0=</vt:lpwstr>
  </property>
</Properties>
</file>