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B2B8">
      <w:pPr>
        <w:autoSpaceDN w:val="0"/>
        <w:spacing w:line="700" w:lineRule="exact"/>
        <w:textAlignment w:val="cente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92C509A">
      <w:pPr>
        <w:spacing w:line="520" w:lineRule="exact"/>
        <w:jc w:val="center"/>
        <w:rPr>
          <w:rFonts w:ascii="方正小标宋_GBK" w:hAnsi="方正小标宋_GBK" w:eastAsia="方正小标宋_GBK"/>
          <w:kern w:val="0"/>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eastAsia="zh-CN"/>
        </w:rPr>
        <w:t>政府办</w:t>
      </w:r>
      <w:r>
        <w:rPr>
          <w:rFonts w:hint="eastAsia" w:ascii="方正小标宋_GBK" w:hAnsi="方正小标宋_GBK" w:eastAsia="方正小标宋_GBK" w:cs="方正小标宋_GBK"/>
          <w:kern w:val="0"/>
          <w:sz w:val="44"/>
          <w:szCs w:val="44"/>
        </w:rPr>
        <w:t>权责清单调整情况表</w:t>
      </w:r>
    </w:p>
    <w:p w14:paraId="18F12E0E">
      <w:pPr>
        <w:pStyle w:val="2"/>
        <w:spacing w:after="0" w:line="400" w:lineRule="exact"/>
        <w:rPr>
          <w:rFonts w:ascii="黑体" w:hAnsi="黑体" w:eastAsia="黑体" w:cs="Times New Roman"/>
          <w:color w:val="000000"/>
          <w:sz w:val="32"/>
          <w:szCs w:val="32"/>
        </w:rPr>
      </w:pPr>
    </w:p>
    <w:tbl>
      <w:tblPr>
        <w:tblStyle w:val="8"/>
        <w:tblW w:w="14047" w:type="dxa"/>
        <w:jc w:val="center"/>
        <w:tblLayout w:type="fixed"/>
        <w:tblCellMar>
          <w:top w:w="0" w:type="dxa"/>
          <w:left w:w="15" w:type="dxa"/>
          <w:bottom w:w="0" w:type="dxa"/>
          <w:right w:w="15" w:type="dxa"/>
        </w:tblCellMar>
      </w:tblPr>
      <w:tblGrid>
        <w:gridCol w:w="845"/>
        <w:gridCol w:w="2137"/>
        <w:gridCol w:w="4560"/>
        <w:gridCol w:w="1065"/>
        <w:gridCol w:w="1215"/>
        <w:gridCol w:w="1590"/>
        <w:gridCol w:w="1590"/>
        <w:gridCol w:w="1045"/>
      </w:tblGrid>
      <w:tr w14:paraId="2F33F5AD">
        <w:tblPrEx>
          <w:tblCellMar>
            <w:top w:w="0" w:type="dxa"/>
            <w:left w:w="15" w:type="dxa"/>
            <w:bottom w:w="0" w:type="dxa"/>
            <w:right w:w="15" w:type="dxa"/>
          </w:tblCellMar>
        </w:tblPrEx>
        <w:trPr>
          <w:trHeight w:val="827"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1F32B289">
            <w:pPr>
              <w:pStyle w:val="2"/>
              <w:spacing w:after="0"/>
              <w:jc w:val="center"/>
              <w:rPr>
                <w:rFonts w:ascii="黑体" w:hAnsi="黑体" w:eastAsia="黑体" w:cs="Times New Roman"/>
                <w:kern w:val="2"/>
                <w:sz w:val="28"/>
                <w:szCs w:val="28"/>
              </w:rPr>
            </w:pPr>
            <w:r>
              <w:rPr>
                <w:rFonts w:hint="eastAsia" w:ascii="黑体" w:hAnsi="黑体" w:eastAsia="黑体" w:cs="黑体"/>
                <w:kern w:val="2"/>
                <w:sz w:val="28"/>
                <w:szCs w:val="28"/>
              </w:rPr>
              <w:t>序号</w:t>
            </w:r>
          </w:p>
        </w:tc>
        <w:tc>
          <w:tcPr>
            <w:tcW w:w="2137" w:type="dxa"/>
            <w:tcBorders>
              <w:top w:val="single" w:color="000000" w:sz="4" w:space="0"/>
              <w:left w:val="single" w:color="000000" w:sz="4" w:space="0"/>
              <w:bottom w:val="single" w:color="000000" w:sz="4" w:space="0"/>
              <w:right w:val="single" w:color="000000" w:sz="4" w:space="0"/>
            </w:tcBorders>
            <w:vAlign w:val="center"/>
          </w:tcPr>
          <w:p w14:paraId="752F8D70">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项目名称</w:t>
            </w:r>
          </w:p>
        </w:tc>
        <w:tc>
          <w:tcPr>
            <w:tcW w:w="4560" w:type="dxa"/>
            <w:tcBorders>
              <w:top w:val="single" w:color="000000" w:sz="4" w:space="0"/>
              <w:left w:val="single" w:color="000000" w:sz="4" w:space="0"/>
              <w:bottom w:val="single" w:color="000000" w:sz="4" w:space="0"/>
              <w:right w:val="single" w:color="000000" w:sz="4" w:space="0"/>
            </w:tcBorders>
            <w:vAlign w:val="center"/>
          </w:tcPr>
          <w:p w14:paraId="3492CE9C">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实施依据</w:t>
            </w:r>
          </w:p>
        </w:tc>
        <w:tc>
          <w:tcPr>
            <w:tcW w:w="1065" w:type="dxa"/>
            <w:tcBorders>
              <w:top w:val="single" w:color="000000" w:sz="4" w:space="0"/>
              <w:left w:val="single" w:color="000000" w:sz="4" w:space="0"/>
              <w:bottom w:val="single" w:color="000000" w:sz="4" w:space="0"/>
              <w:right w:val="single" w:color="000000" w:sz="4" w:space="0"/>
            </w:tcBorders>
            <w:vAlign w:val="center"/>
          </w:tcPr>
          <w:p w14:paraId="2ECB284C">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职权</w:t>
            </w:r>
            <w:r>
              <w:rPr>
                <w:rFonts w:ascii="黑体" w:hAnsi="黑体" w:eastAsia="黑体"/>
                <w:color w:val="000000"/>
                <w:sz w:val="28"/>
                <w:szCs w:val="28"/>
              </w:rPr>
              <w:br w:type="textWrapping"/>
            </w:r>
            <w:r>
              <w:rPr>
                <w:rFonts w:hint="eastAsia" w:ascii="黑体" w:hAnsi="黑体" w:eastAsia="黑体" w:cs="黑体"/>
                <w:color w:val="000000"/>
                <w:sz w:val="28"/>
                <w:szCs w:val="28"/>
              </w:rPr>
              <w:t>类别</w:t>
            </w:r>
          </w:p>
        </w:tc>
        <w:tc>
          <w:tcPr>
            <w:tcW w:w="1215" w:type="dxa"/>
            <w:tcBorders>
              <w:top w:val="single" w:color="000000" w:sz="4" w:space="0"/>
              <w:left w:val="single" w:color="000000" w:sz="4" w:space="0"/>
              <w:bottom w:val="single" w:color="000000" w:sz="4" w:space="0"/>
              <w:right w:val="single" w:color="000000" w:sz="4" w:space="0"/>
            </w:tcBorders>
            <w:vAlign w:val="center"/>
          </w:tcPr>
          <w:p w14:paraId="51DBB24C">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责任科室</w:t>
            </w:r>
          </w:p>
        </w:tc>
        <w:tc>
          <w:tcPr>
            <w:tcW w:w="1590" w:type="dxa"/>
            <w:tcBorders>
              <w:top w:val="single" w:color="000000" w:sz="4" w:space="0"/>
              <w:left w:val="single" w:color="000000" w:sz="4" w:space="0"/>
              <w:bottom w:val="single" w:color="000000" w:sz="4" w:space="0"/>
              <w:right w:val="single" w:color="000000" w:sz="4" w:space="0"/>
            </w:tcBorders>
            <w:vAlign w:val="center"/>
          </w:tcPr>
          <w:p w14:paraId="723DDEE6">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拟调整情况</w:t>
            </w:r>
          </w:p>
        </w:tc>
        <w:tc>
          <w:tcPr>
            <w:tcW w:w="1590" w:type="dxa"/>
            <w:tcBorders>
              <w:top w:val="single" w:color="000000" w:sz="4" w:space="0"/>
              <w:left w:val="single" w:color="000000" w:sz="4" w:space="0"/>
              <w:bottom w:val="single" w:color="000000" w:sz="4" w:space="0"/>
              <w:right w:val="single" w:color="000000" w:sz="4" w:space="0"/>
            </w:tcBorders>
            <w:vAlign w:val="center"/>
          </w:tcPr>
          <w:p w14:paraId="17A23035">
            <w:pPr>
              <w:autoSpaceDN w:val="0"/>
              <w:spacing w:line="400" w:lineRule="exact"/>
              <w:jc w:val="center"/>
              <w:textAlignment w:val="center"/>
              <w:rPr>
                <w:rFonts w:ascii="黑体" w:hAnsi="黑体" w:eastAsia="黑体"/>
                <w:color w:val="000000"/>
                <w:sz w:val="28"/>
                <w:szCs w:val="28"/>
              </w:rPr>
            </w:pPr>
            <w:r>
              <w:rPr>
                <w:rFonts w:ascii="黑体" w:hAnsi="黑体" w:eastAsia="黑体" w:cs="黑体"/>
                <w:color w:val="000000"/>
                <w:sz w:val="28"/>
                <w:szCs w:val="28"/>
              </w:rPr>
              <w:t xml:space="preserve"> </w:t>
            </w:r>
            <w:r>
              <w:rPr>
                <w:rFonts w:hint="eastAsia" w:ascii="黑体" w:hAnsi="黑体" w:eastAsia="黑体" w:cs="黑体"/>
                <w:color w:val="000000"/>
                <w:sz w:val="28"/>
                <w:szCs w:val="28"/>
              </w:rPr>
              <w:t>拟调整原因</w:t>
            </w:r>
          </w:p>
        </w:tc>
        <w:tc>
          <w:tcPr>
            <w:tcW w:w="1045" w:type="dxa"/>
            <w:tcBorders>
              <w:top w:val="single" w:color="000000" w:sz="4" w:space="0"/>
              <w:left w:val="single" w:color="000000" w:sz="4" w:space="0"/>
              <w:bottom w:val="single" w:color="000000" w:sz="4" w:space="0"/>
              <w:right w:val="single" w:color="000000" w:sz="4" w:space="0"/>
            </w:tcBorders>
            <w:vAlign w:val="center"/>
          </w:tcPr>
          <w:p w14:paraId="210ABBD6">
            <w:pPr>
              <w:autoSpaceDN w:val="0"/>
              <w:spacing w:line="400" w:lineRule="exact"/>
              <w:jc w:val="center"/>
              <w:textAlignment w:val="center"/>
              <w:rPr>
                <w:rFonts w:ascii="黑体" w:hAnsi="黑体" w:eastAsia="黑体"/>
                <w:color w:val="000000"/>
                <w:sz w:val="28"/>
                <w:szCs w:val="28"/>
              </w:rPr>
            </w:pPr>
            <w:r>
              <w:rPr>
                <w:rFonts w:hint="eastAsia" w:ascii="黑体" w:hAnsi="黑体" w:eastAsia="黑体" w:cs="黑体"/>
                <w:color w:val="000000"/>
                <w:sz w:val="28"/>
                <w:szCs w:val="28"/>
              </w:rPr>
              <w:t>备注</w:t>
            </w:r>
          </w:p>
        </w:tc>
      </w:tr>
      <w:tr w14:paraId="5195AF2B">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2CFDD57">
            <w:pPr>
              <w:autoSpaceDN w:val="0"/>
              <w:jc w:val="center"/>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w:t>
            </w:r>
          </w:p>
        </w:tc>
        <w:tc>
          <w:tcPr>
            <w:tcW w:w="2137" w:type="dxa"/>
            <w:tcBorders>
              <w:top w:val="single" w:color="000000" w:sz="4" w:space="0"/>
              <w:left w:val="single" w:color="000000" w:sz="4" w:space="0"/>
              <w:bottom w:val="single" w:color="000000" w:sz="4" w:space="0"/>
              <w:right w:val="single" w:color="000000" w:sz="4" w:space="0"/>
            </w:tcBorders>
            <w:vAlign w:val="center"/>
          </w:tcPr>
          <w:p w14:paraId="24C68E3B">
            <w:pPr>
              <w:autoSpaceDN w:val="0"/>
              <w:jc w:val="left"/>
              <w:textAlignment w:val="center"/>
              <w:rPr>
                <w:rFonts w:ascii="仿宋_GB2312" w:hAnsi="仿宋_GB2312" w:eastAsia="仿宋_GB2312"/>
                <w:color w:val="000000"/>
                <w:sz w:val="24"/>
                <w:szCs w:val="24"/>
              </w:rPr>
            </w:pPr>
            <w:r>
              <w:rPr>
                <w:rFonts w:hint="eastAsia" w:ascii="仿宋_GB2312" w:hAnsi="宋体" w:eastAsia="仿宋_GB2312" w:cs="仿宋_GB2312"/>
                <w:color w:val="000000"/>
                <w:kern w:val="0"/>
                <w:sz w:val="24"/>
                <w:szCs w:val="24"/>
              </w:rPr>
              <w:t>人民防空工程改造审批</w:t>
            </w:r>
          </w:p>
        </w:tc>
        <w:tc>
          <w:tcPr>
            <w:tcW w:w="4560" w:type="dxa"/>
            <w:tcBorders>
              <w:top w:val="single" w:color="000000" w:sz="4" w:space="0"/>
              <w:left w:val="single" w:color="000000" w:sz="4" w:space="0"/>
              <w:bottom w:val="single" w:color="000000" w:sz="4" w:space="0"/>
              <w:right w:val="single" w:color="000000" w:sz="4" w:space="0"/>
            </w:tcBorders>
            <w:vAlign w:val="center"/>
          </w:tcPr>
          <w:p w14:paraId="720090B5">
            <w:pPr>
              <w:autoSpaceDN w:val="0"/>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1.《人民防空工程维护管理办法》（〔2001〕国人防办字第210号）第十六条：“人民防空工程进行改造时，不得降低防护能力和影响其防空效能，并按有关规定、规范进行设计，经人民防空主管部门批准后实施。”</w:t>
            </w:r>
          </w:p>
          <w:p w14:paraId="616F0439">
            <w:pPr>
              <w:autoSpaceDN w:val="0"/>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2.《人民防空工程平时开发利用管理办法》（〔2001〕国人防办字第211号）第十三条：“使用单位不得改变人民防空工程的主体结构，不得擅自拆除人民防空工程设备设施或者危害人民防空工程的安全和使用效能。使用单位因使用需要可对人民防空工程进行装修并向工程隶属单位提出书面申请。装修方案和施工图纸必须报经工程所在地人防主管部门批准。”</w:t>
            </w:r>
          </w:p>
        </w:tc>
        <w:tc>
          <w:tcPr>
            <w:tcW w:w="1065" w:type="dxa"/>
            <w:tcBorders>
              <w:top w:val="single" w:color="000000" w:sz="4" w:space="0"/>
              <w:left w:val="single" w:color="000000" w:sz="4" w:space="0"/>
              <w:bottom w:val="single" w:color="000000" w:sz="4" w:space="0"/>
              <w:right w:val="single" w:color="000000" w:sz="4" w:space="0"/>
            </w:tcBorders>
            <w:vAlign w:val="center"/>
          </w:tcPr>
          <w:p w14:paraId="23836FCC">
            <w:pPr>
              <w:autoSpaceDN w:val="0"/>
              <w:jc w:val="center"/>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行政许可</w:t>
            </w:r>
          </w:p>
        </w:tc>
        <w:tc>
          <w:tcPr>
            <w:tcW w:w="1215" w:type="dxa"/>
            <w:tcBorders>
              <w:top w:val="single" w:color="000000" w:sz="4" w:space="0"/>
              <w:left w:val="single" w:color="000000" w:sz="4" w:space="0"/>
              <w:bottom w:val="single" w:color="000000" w:sz="4" w:space="0"/>
              <w:right w:val="single" w:color="000000" w:sz="4" w:space="0"/>
            </w:tcBorders>
            <w:vAlign w:val="center"/>
          </w:tcPr>
          <w:p w14:paraId="76AF95C0">
            <w:pPr>
              <w:autoSpaceDN w:val="0"/>
              <w:jc w:val="center"/>
              <w:textAlignment w:val="center"/>
              <w:rPr>
                <w:rFonts w:hint="eastAsia" w:ascii="宋体" w:eastAsia="宋体"/>
                <w:color w:val="000000"/>
                <w:sz w:val="24"/>
                <w:szCs w:val="24"/>
                <w:lang w:eastAsia="zh-CN"/>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0226FB33">
            <w:pPr>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调整为其他职权</w:t>
            </w:r>
          </w:p>
        </w:tc>
        <w:tc>
          <w:tcPr>
            <w:tcW w:w="1590" w:type="dxa"/>
            <w:tcBorders>
              <w:top w:val="single" w:color="000000" w:sz="4" w:space="0"/>
              <w:left w:val="single" w:color="000000" w:sz="4" w:space="0"/>
              <w:bottom w:val="single" w:color="000000" w:sz="4" w:space="0"/>
              <w:right w:val="single" w:color="000000" w:sz="4" w:space="0"/>
            </w:tcBorders>
          </w:tcPr>
          <w:p w14:paraId="49F97FF1">
            <w:pPr>
              <w:autoSpaceDN w:val="0"/>
              <w:jc w:val="left"/>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按市国动办权责清单调整</w:t>
            </w:r>
          </w:p>
        </w:tc>
        <w:tc>
          <w:tcPr>
            <w:tcW w:w="1045" w:type="dxa"/>
            <w:tcBorders>
              <w:top w:val="single" w:color="000000" w:sz="4" w:space="0"/>
              <w:left w:val="single" w:color="000000" w:sz="4" w:space="0"/>
              <w:bottom w:val="single" w:color="000000" w:sz="4" w:space="0"/>
              <w:right w:val="single" w:color="000000" w:sz="4" w:space="0"/>
            </w:tcBorders>
            <w:vAlign w:val="center"/>
          </w:tcPr>
          <w:p w14:paraId="7EE43145">
            <w:pPr>
              <w:autoSpaceDN w:val="0"/>
              <w:jc w:val="left"/>
              <w:textAlignment w:val="center"/>
              <w:rPr>
                <w:rFonts w:ascii="仿宋_GB2312" w:hAnsi="仿宋_GB2312" w:eastAsia="仿宋_GB2312"/>
                <w:color w:val="000000"/>
                <w:sz w:val="24"/>
                <w:szCs w:val="24"/>
              </w:rPr>
            </w:pPr>
          </w:p>
        </w:tc>
      </w:tr>
      <w:tr w14:paraId="6C4C5561">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7806F3B6">
            <w:pPr>
              <w:autoSpaceDN w:val="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137" w:type="dxa"/>
            <w:tcBorders>
              <w:top w:val="single" w:color="000000" w:sz="4" w:space="0"/>
              <w:left w:val="single" w:color="000000" w:sz="4" w:space="0"/>
              <w:bottom w:val="single" w:color="000000" w:sz="4" w:space="0"/>
              <w:right w:val="single" w:color="000000" w:sz="4" w:space="0"/>
            </w:tcBorders>
            <w:vAlign w:val="center"/>
          </w:tcPr>
          <w:p w14:paraId="51175E15">
            <w:pPr>
              <w:tabs>
                <w:tab w:val="left" w:pos="62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不建防空地下室的处罚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40398243">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1.《中华人民共和国人民防空法》第四十八条：“城市新建民用建筑，违反国家有关规定不修建战时可用于防空的地下室的，由县级以上人民政府人民防空主管部门对当事人给予警告，并责令限期修建，可以并处十万元以下的罚款。”   </w:t>
            </w:r>
          </w:p>
          <w:p w14:paraId="2A114F64">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2.《河南省实施&lt;中华人民共和国人民防空法&gt;办法》（1998年7月24日河南省第九届人民代表大会常务委员会第四次会议通过）第二十八条：“城市新建民用建筑，违反《人民防空法》和本办法第十二条规定不修建战时可用于防空的地下室、又不缴纳易地建设费的，由县级以上人民防空主管部门对当事人给予警告，责令限期修建或补缴易地建设费，可以并处应当修建防空地下室建筑面积每平方米三十元以上五十元以下的罚款，但罚款最高不超过十万元。”</w:t>
            </w:r>
          </w:p>
        </w:tc>
        <w:tc>
          <w:tcPr>
            <w:tcW w:w="1065" w:type="dxa"/>
            <w:tcBorders>
              <w:top w:val="single" w:color="000000" w:sz="4" w:space="0"/>
              <w:left w:val="single" w:color="000000" w:sz="4" w:space="0"/>
              <w:bottom w:val="single" w:color="000000" w:sz="4" w:space="0"/>
              <w:right w:val="single" w:color="000000" w:sz="4" w:space="0"/>
            </w:tcBorders>
            <w:vAlign w:val="center"/>
          </w:tcPr>
          <w:p w14:paraId="1E9471A6">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65096A97">
            <w:pPr>
              <w:autoSpaceDN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259A68B7">
            <w:pPr>
              <w:autoSpaceDN w:val="0"/>
              <w:jc w:val="left"/>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划入</w:t>
            </w:r>
          </w:p>
        </w:tc>
        <w:tc>
          <w:tcPr>
            <w:tcW w:w="1590" w:type="dxa"/>
            <w:tcBorders>
              <w:top w:val="single" w:color="000000" w:sz="4" w:space="0"/>
              <w:left w:val="single" w:color="000000" w:sz="4" w:space="0"/>
              <w:bottom w:val="single" w:color="000000" w:sz="4" w:space="0"/>
              <w:right w:val="single" w:color="000000" w:sz="4" w:space="0"/>
            </w:tcBorders>
          </w:tcPr>
          <w:p w14:paraId="15A8BBC7">
            <w:pPr>
              <w:bidi w:val="0"/>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城管局划入</w:t>
            </w:r>
          </w:p>
        </w:tc>
        <w:tc>
          <w:tcPr>
            <w:tcW w:w="1045" w:type="dxa"/>
            <w:tcBorders>
              <w:top w:val="single" w:color="000000" w:sz="4" w:space="0"/>
              <w:left w:val="single" w:color="000000" w:sz="4" w:space="0"/>
              <w:bottom w:val="single" w:color="000000" w:sz="4" w:space="0"/>
              <w:right w:val="single" w:color="000000" w:sz="4" w:space="0"/>
            </w:tcBorders>
            <w:vAlign w:val="center"/>
          </w:tcPr>
          <w:p w14:paraId="71B7C18C">
            <w:pPr>
              <w:autoSpaceDN w:val="0"/>
              <w:jc w:val="left"/>
              <w:textAlignment w:val="center"/>
              <w:rPr>
                <w:rFonts w:ascii="仿宋_GB2312" w:hAnsi="仿宋_GB2312" w:eastAsia="仿宋_GB2312"/>
                <w:color w:val="000000"/>
                <w:sz w:val="24"/>
                <w:szCs w:val="24"/>
              </w:rPr>
            </w:pPr>
          </w:p>
        </w:tc>
      </w:tr>
      <w:tr w14:paraId="10F15FE5">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0D1B74B">
            <w:pPr>
              <w:autoSpaceDN w:val="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137" w:type="dxa"/>
            <w:tcBorders>
              <w:top w:val="single" w:color="000000" w:sz="4" w:space="0"/>
              <w:left w:val="single" w:color="000000" w:sz="4" w:space="0"/>
              <w:bottom w:val="single" w:color="000000" w:sz="4" w:space="0"/>
              <w:right w:val="single" w:color="000000" w:sz="4" w:space="0"/>
            </w:tcBorders>
            <w:vAlign w:val="center"/>
          </w:tcPr>
          <w:p w14:paraId="5227BA68">
            <w:pPr>
              <w:autoSpaceDN w:val="0"/>
              <w:jc w:val="left"/>
              <w:textAlignment w:val="center"/>
              <w:rPr>
                <w:rFonts w:hint="eastAsia" w:ascii="仿宋_GB2312" w:hAnsi="仿宋_GB2312" w:eastAsia="仿宋_GB2312"/>
                <w:color w:val="000000"/>
                <w:sz w:val="24"/>
                <w:szCs w:val="24"/>
              </w:rPr>
            </w:pPr>
            <w:r>
              <w:rPr>
                <w:rFonts w:hint="default" w:ascii="仿宋_GB2312" w:hAnsi="Calibri" w:eastAsia="仿宋_GB2312" w:cs="仿宋_GB2312"/>
                <w:sz w:val="24"/>
                <w:szCs w:val="24"/>
              </w:rPr>
              <w:t>侵占人民防空工程的；不按照国家规定的防护标准和质量标准修建人民防空工程的；违反国家规定，改变人民防空工程的主体结构，拆除人民防空工程设施或者采用其他方法危害人民防空工程的安全和使用效能的；拆除人民防空工程后拒不补建的；占用人民防空通信专用频率、使用与防空警报相同的音响信号或者擅自拆除人民防空通信、警报设施的；阻挠安装人民防空通信、警报设施的；向人民防空工程内排入废水、废气或者倾倒废弃物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40827CD7">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河南省实施&lt;中华人民共和国人民防空法&gt;办法》（1998年7月24日河南省第九届人民代表大会常务委员会第四次会议通过）第二十九条：“有下列行为之一的，由县级以上人民防空主管部门对当事人给予警告，并责令限期改正违法行为，可按照下列规定并处罚款；造成损失的，当事人应当依法赔偿损失：（一）侵占人民防空工程，面积不足一百平方米的，对个人处以一千元以上二千元以下罚款，对单位处以一万元以上二万元以下罚款；面积在一百平方米以上的，对个人处以二千元以上五千元以下罚款，对单位处以二万元以上五万元以下罚款。（二）不按照国家规定的防护标准和质量标准修建人民防空工程的，处以一万元以上五万元以下罚款。（三）违反国家规定，改变人民防空工程的主体结构，拆除人民防空工程设备设施或者采用其他方法危害人民防空工程的安全和使用效能的，对个人处以一千元以上三千元以下罚款，对单位处以一万元以上五万元以下罚款。（四）拆除人民防空工程后拒不补建，面积不足一百平方米的，对个人处以二千元以上三千元以下罚款，对单位处以一万元以上三万元以下罚款；面积在一百平方米以上的，对个人处以三千元以上五千元以下罚款，对单位处以三万元以上五万元以下罚款。（五）占用人民防空通信专用频率、使用与防空警报相同的音响信号或者擅自拆除人民防空通信、警报设施的，对个人处以二千元以上三千元以下罚款，情节严重的，处以三千元以上五千元以下罚款；对单位处以一万元以上三万元以下罚款，情节严重的，处以三万元以上五万元以下罚款。（六）阻挠安装人民防空通信、警报设施，拒不改正的，对个人处以二千元以上五千元以下罚款，对单位处以一万元以上五万元以下罚款。（七）向人民防空工程内排入废水、废气或者倾倒废弃物的，对个人处以三百元以上一千元以下的罚款，情节严重的，处以二千元以上三千元以下罚款；对单位处以五千元以上一万元以下罚款，情节严重的，处以一万元以上五万元以下罚款。”</w:t>
            </w:r>
          </w:p>
        </w:tc>
        <w:tc>
          <w:tcPr>
            <w:tcW w:w="1065" w:type="dxa"/>
            <w:tcBorders>
              <w:top w:val="single" w:color="000000" w:sz="4" w:space="0"/>
              <w:left w:val="single" w:color="000000" w:sz="4" w:space="0"/>
              <w:bottom w:val="single" w:color="000000" w:sz="4" w:space="0"/>
              <w:right w:val="single" w:color="000000" w:sz="4" w:space="0"/>
            </w:tcBorders>
            <w:vAlign w:val="center"/>
          </w:tcPr>
          <w:p w14:paraId="616727D0">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6ABF8F14">
            <w:pPr>
              <w:autoSpaceDN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574FFA39">
            <w:pPr>
              <w:autoSpaceDN w:val="0"/>
              <w:jc w:val="left"/>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划入</w:t>
            </w:r>
          </w:p>
        </w:tc>
        <w:tc>
          <w:tcPr>
            <w:tcW w:w="1590" w:type="dxa"/>
            <w:tcBorders>
              <w:top w:val="single" w:color="000000" w:sz="4" w:space="0"/>
              <w:left w:val="single" w:color="000000" w:sz="4" w:space="0"/>
              <w:bottom w:val="single" w:color="000000" w:sz="4" w:space="0"/>
              <w:right w:val="single" w:color="000000" w:sz="4" w:space="0"/>
            </w:tcBorders>
          </w:tcPr>
          <w:p w14:paraId="7DCF3F40">
            <w:pPr>
              <w:bidi w:val="0"/>
              <w:jc w:val="left"/>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城管局划入</w:t>
            </w:r>
          </w:p>
        </w:tc>
        <w:tc>
          <w:tcPr>
            <w:tcW w:w="1045" w:type="dxa"/>
            <w:tcBorders>
              <w:top w:val="single" w:color="000000" w:sz="4" w:space="0"/>
              <w:left w:val="single" w:color="000000" w:sz="4" w:space="0"/>
              <w:bottom w:val="single" w:color="000000" w:sz="4" w:space="0"/>
              <w:right w:val="single" w:color="000000" w:sz="4" w:space="0"/>
            </w:tcBorders>
            <w:vAlign w:val="center"/>
          </w:tcPr>
          <w:p w14:paraId="498EC613">
            <w:pPr>
              <w:autoSpaceDN w:val="0"/>
              <w:jc w:val="left"/>
              <w:textAlignment w:val="center"/>
              <w:rPr>
                <w:rFonts w:ascii="仿宋_GB2312" w:hAnsi="仿宋_GB2312" w:eastAsia="仿宋_GB2312"/>
                <w:color w:val="000000"/>
                <w:sz w:val="24"/>
                <w:szCs w:val="24"/>
              </w:rPr>
            </w:pPr>
          </w:p>
        </w:tc>
      </w:tr>
      <w:tr w14:paraId="00ADD8FD">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4D90E39F">
            <w:pPr>
              <w:autoSpaceDN w:val="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2137" w:type="dxa"/>
            <w:tcBorders>
              <w:top w:val="single" w:color="000000" w:sz="4" w:space="0"/>
              <w:left w:val="single" w:color="000000" w:sz="4" w:space="0"/>
              <w:bottom w:val="single" w:color="000000" w:sz="4" w:space="0"/>
              <w:right w:val="single" w:color="000000" w:sz="4" w:space="0"/>
            </w:tcBorders>
            <w:vAlign w:val="center"/>
          </w:tcPr>
          <w:p w14:paraId="3F50855E">
            <w:pPr>
              <w:autoSpaceDN w:val="0"/>
              <w:jc w:val="lef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建设单位将人防工程发包给不具有相应资质等级的勘察、设计、施工单位或者委托给不具有相应资质等级的工程监理单位的处罚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4F87D7CC">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《建设工程质量管理条例》(2000年国务院令第279号) </w:t>
            </w:r>
          </w:p>
          <w:p w14:paraId="4CC09DAE">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第五十四条  违反本条例规定，建设单位将建设工程发包给不具有相应资质等级的勘察、设计、施工单位或者委托给不具有相应资质等级的工程监理单位的，责令改正，处50万元以上100万元以下的罚款。</w:t>
            </w:r>
          </w:p>
          <w:p w14:paraId="6D7096E4">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第七十三条  依照本条例规定，给予单位罚款处罚的，对单位直接负责的主管人员和其他直接责任人员处单位罚款数额百分之五以上百分之十以下的罚款。</w:t>
            </w:r>
          </w:p>
          <w:p w14:paraId="0F34C87F">
            <w:pPr>
              <w:autoSpaceDN w:val="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《人民防空工程设计管理规定》（国人防〔2009〕280号）</w:t>
            </w:r>
          </w:p>
          <w:p w14:paraId="42B79E45">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　　第三十二条  对于将人防工程设计业务发包给不具有相应资质等级的设计单位，应责令改正，并可对发包方处3万元以上5万元以下的罚款。</w:t>
            </w:r>
          </w:p>
        </w:tc>
        <w:tc>
          <w:tcPr>
            <w:tcW w:w="1065" w:type="dxa"/>
            <w:tcBorders>
              <w:top w:val="single" w:color="000000" w:sz="4" w:space="0"/>
              <w:left w:val="single" w:color="000000" w:sz="4" w:space="0"/>
              <w:bottom w:val="single" w:color="000000" w:sz="4" w:space="0"/>
              <w:right w:val="single" w:color="000000" w:sz="4" w:space="0"/>
            </w:tcBorders>
            <w:vAlign w:val="center"/>
          </w:tcPr>
          <w:p w14:paraId="104092A3">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330F5812">
            <w:pPr>
              <w:autoSpaceDN w:val="0"/>
              <w:jc w:val="center"/>
              <w:textAlignment w:val="center"/>
              <w:rPr>
                <w:rFonts w:hint="eastAsia" w:ascii="宋体" w:eastAsia="宋体"/>
                <w:color w:val="000000"/>
                <w:sz w:val="24"/>
                <w:szCs w:val="24"/>
                <w:lang w:eastAsia="zh-CN"/>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326F5A54">
            <w:pPr>
              <w:autoSpaceDN w:val="0"/>
              <w:jc w:val="left"/>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1E405816">
            <w:pPr>
              <w:autoSpaceDN w:val="0"/>
              <w:jc w:val="left"/>
              <w:textAlignment w:val="center"/>
              <w:rPr>
                <w:rFonts w:hint="default" w:ascii="仿宋_GB2312" w:hAnsi="仿宋_GB2312" w:eastAsia="仿宋_GB2312"/>
                <w:color w:val="000000"/>
                <w:sz w:val="24"/>
                <w:szCs w:val="24"/>
                <w:lang w:val="en-US" w:eastAsia="zh-CN"/>
              </w:rPr>
            </w:pPr>
          </w:p>
          <w:p w14:paraId="7FD76232">
            <w:pPr>
              <w:bidi w:val="0"/>
              <w:rPr>
                <w:rFonts w:hint="default" w:ascii="Times New Roman" w:hAnsi="Times New Roman" w:eastAsia="宋体" w:cs="Times New Roman"/>
                <w:kern w:val="2"/>
                <w:sz w:val="21"/>
                <w:szCs w:val="21"/>
                <w:lang w:val="en-US" w:eastAsia="zh-CN" w:bidi="ar-SA"/>
              </w:rPr>
            </w:pPr>
          </w:p>
          <w:p w14:paraId="7DD5EB4A">
            <w:pPr>
              <w:bidi w:val="0"/>
              <w:rPr>
                <w:rFonts w:hint="default"/>
                <w:lang w:val="en-US" w:eastAsia="zh-CN"/>
              </w:rPr>
            </w:pPr>
          </w:p>
          <w:p w14:paraId="43281E0B">
            <w:pPr>
              <w:bidi w:val="0"/>
              <w:rPr>
                <w:rFonts w:hint="default"/>
                <w:lang w:val="en-US" w:eastAsia="zh-CN"/>
              </w:rPr>
            </w:pPr>
          </w:p>
          <w:p w14:paraId="373482A9">
            <w:pPr>
              <w:bidi w:val="0"/>
              <w:rPr>
                <w:rFonts w:hint="default"/>
                <w:lang w:val="en-US" w:eastAsia="zh-CN"/>
              </w:rPr>
            </w:pPr>
          </w:p>
          <w:p w14:paraId="0AC8B128">
            <w:pPr>
              <w:bidi w:val="0"/>
              <w:jc w:val="left"/>
              <w:rPr>
                <w:rFonts w:hint="default"/>
                <w:lang w:val="en-US" w:eastAsia="zh-CN"/>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58E2990C">
            <w:pPr>
              <w:autoSpaceDN w:val="0"/>
              <w:jc w:val="left"/>
              <w:textAlignment w:val="center"/>
              <w:rPr>
                <w:rFonts w:ascii="仿宋_GB2312" w:hAnsi="仿宋_GB2312" w:eastAsia="仿宋_GB2312"/>
                <w:color w:val="000000"/>
                <w:sz w:val="24"/>
                <w:szCs w:val="24"/>
              </w:rPr>
            </w:pPr>
          </w:p>
        </w:tc>
      </w:tr>
      <w:tr w14:paraId="4D24481F">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7D7A509">
            <w:pPr>
              <w:autoSpaceDN w:val="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2137" w:type="dxa"/>
            <w:tcBorders>
              <w:top w:val="single" w:color="000000" w:sz="4" w:space="0"/>
              <w:left w:val="single" w:color="000000" w:sz="4" w:space="0"/>
              <w:bottom w:val="single" w:color="000000" w:sz="4" w:space="0"/>
              <w:right w:val="single" w:color="000000" w:sz="4" w:space="0"/>
            </w:tcBorders>
            <w:vAlign w:val="center"/>
          </w:tcPr>
          <w:p w14:paraId="5771A91F">
            <w:pPr>
              <w:autoSpaceDN w:val="0"/>
              <w:ind w:firstLine="547" w:firstLineChars="0"/>
              <w:jc w:val="lef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建设单位将人防工程肢解发包的处罚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29BF4FE4">
            <w:pPr>
              <w:autoSpaceDN w:val="0"/>
              <w:ind w:firstLine="320" w:firstLineChars="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《建设工程质量管理条例》(2000年国务院令第279号) </w:t>
            </w:r>
          </w:p>
          <w:p w14:paraId="546A13E4">
            <w:pPr>
              <w:autoSpaceDN w:val="0"/>
              <w:ind w:firstLine="320" w:firstLineChars="0"/>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第五十五条  违反本条例规定，建设单位将建设工程肢解发包的，责令改正，处工程合同价款百分之零点五以上百分之一以下的罚款；对全部或者部分使用国有资金的项目，并可以暂停项目执行或者暂停资金拨付。</w:t>
            </w:r>
          </w:p>
          <w:p w14:paraId="429491DD">
            <w:pPr>
              <w:autoSpaceDN w:val="0"/>
              <w:ind w:firstLine="320" w:firstLineChars="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　　第七十三条  依照本条例规定，给予单位罚款处罚的，对单位直接负责的主管人员和其他直接责任人员处单位罚款数额百分之五以上百分之十以下的罚款。</w:t>
            </w:r>
          </w:p>
        </w:tc>
        <w:tc>
          <w:tcPr>
            <w:tcW w:w="1065" w:type="dxa"/>
            <w:tcBorders>
              <w:top w:val="single" w:color="000000" w:sz="4" w:space="0"/>
              <w:left w:val="single" w:color="000000" w:sz="4" w:space="0"/>
              <w:bottom w:val="single" w:color="000000" w:sz="4" w:space="0"/>
              <w:right w:val="single" w:color="000000" w:sz="4" w:space="0"/>
            </w:tcBorders>
            <w:vAlign w:val="center"/>
          </w:tcPr>
          <w:p w14:paraId="475BD00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6E570E50">
            <w:pPr>
              <w:autoSpaceDN w:val="0"/>
              <w:jc w:val="center"/>
              <w:textAlignment w:val="center"/>
              <w:rPr>
                <w:rFonts w:hint="eastAsia" w:ascii="宋体" w:eastAsia="宋体"/>
                <w:color w:val="000000"/>
                <w:sz w:val="24"/>
                <w:szCs w:val="24"/>
                <w:lang w:eastAsia="zh-CN"/>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6CF78D49">
            <w:pPr>
              <w:autoSpaceDN w:val="0"/>
              <w:jc w:val="left"/>
              <w:textAlignment w:val="center"/>
              <w:rPr>
                <w:rFonts w:ascii="仿宋_GB2312" w:hAnsi="仿宋_GB2312" w:eastAsia="仿宋_GB2312"/>
                <w:color w:val="000000"/>
                <w:sz w:val="24"/>
                <w:szCs w:val="24"/>
              </w:rPr>
            </w:pPr>
          </w:p>
          <w:p w14:paraId="6A65B805">
            <w:pPr>
              <w:bidi w:val="0"/>
              <w:jc w:val="center"/>
              <w:rPr>
                <w:rFonts w:ascii="Times New Roman" w:hAnsi="Times New Roman" w:eastAsia="宋体" w:cs="Times New Roman"/>
                <w:kern w:val="2"/>
                <w:sz w:val="21"/>
                <w:szCs w:val="21"/>
                <w:lang w:val="en-US" w:eastAsia="zh-CN" w:bidi="ar-SA"/>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42B66EE5">
            <w:pPr>
              <w:autoSpaceDN w:val="0"/>
              <w:jc w:val="left"/>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6A185BEA">
            <w:pPr>
              <w:autoSpaceDN w:val="0"/>
              <w:jc w:val="left"/>
              <w:textAlignment w:val="center"/>
              <w:rPr>
                <w:rFonts w:ascii="仿宋_GB2312" w:hAnsi="仿宋_GB2312" w:eastAsia="仿宋_GB2312"/>
                <w:color w:val="000000"/>
                <w:sz w:val="24"/>
                <w:szCs w:val="24"/>
              </w:rPr>
            </w:pPr>
          </w:p>
        </w:tc>
      </w:tr>
      <w:tr w14:paraId="31D7F4E1">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EA825AA">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6</w:t>
            </w:r>
          </w:p>
        </w:tc>
        <w:tc>
          <w:tcPr>
            <w:tcW w:w="2137" w:type="dxa"/>
            <w:tcBorders>
              <w:top w:val="single" w:color="000000" w:sz="4" w:space="0"/>
              <w:left w:val="single" w:color="000000" w:sz="4" w:space="0"/>
              <w:bottom w:val="single" w:color="000000" w:sz="4" w:space="0"/>
              <w:right w:val="single" w:color="000000" w:sz="4" w:space="0"/>
            </w:tcBorders>
            <w:vAlign w:val="center"/>
          </w:tcPr>
          <w:p w14:paraId="3F38ED84">
            <w:pPr>
              <w:tabs>
                <w:tab w:val="left" w:pos="367"/>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建设单位未按照国家规定将人防工程竣工验收报告、有关认可文件或者准许使用文件报送人防部门备案等的处罚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1B981540">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p w14:paraId="20F21F3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07297EF8">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23415E67">
            <w:pPr>
              <w:autoSpaceDN w:val="0"/>
              <w:jc w:val="center"/>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3DF87CAB">
            <w:pPr>
              <w:autoSpaceDN w:val="0"/>
              <w:jc w:val="center"/>
              <w:textAlignment w:val="center"/>
              <w:rPr>
                <w:rFonts w:ascii="仿宋_GB2312" w:hAnsi="仿宋_GB2312" w:eastAsia="仿宋_GB2312"/>
                <w:color w:val="000000"/>
                <w:sz w:val="24"/>
                <w:szCs w:val="24"/>
              </w:rPr>
            </w:pPr>
            <w:r>
              <w:rPr>
                <w:rFonts w:hint="eastAsia" w:ascii="仿宋" w:hAnsi="仿宋" w:eastAsia="仿宋" w:cs="仿宋"/>
                <w:color w:val="000000"/>
                <w:sz w:val="24"/>
                <w:szCs w:val="24"/>
                <w:lang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4060CE61">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4FE21BA2">
            <w:pPr>
              <w:autoSpaceDN w:val="0"/>
              <w:jc w:val="center"/>
              <w:textAlignment w:val="center"/>
              <w:rPr>
                <w:rFonts w:ascii="仿宋_GB2312" w:hAnsi="仿宋_GB2312" w:eastAsia="仿宋_GB2312"/>
                <w:color w:val="000000"/>
                <w:sz w:val="24"/>
                <w:szCs w:val="24"/>
              </w:rPr>
            </w:pPr>
          </w:p>
        </w:tc>
      </w:tr>
      <w:tr w14:paraId="6C9CA98E">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006ED1DD">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7</w:t>
            </w:r>
          </w:p>
        </w:tc>
        <w:tc>
          <w:tcPr>
            <w:tcW w:w="2137" w:type="dxa"/>
            <w:tcBorders>
              <w:top w:val="single" w:color="000000" w:sz="4" w:space="0"/>
              <w:left w:val="single" w:color="000000" w:sz="4" w:space="0"/>
              <w:bottom w:val="single" w:color="000000" w:sz="4" w:space="0"/>
              <w:right w:val="single" w:color="000000" w:sz="4" w:space="0"/>
            </w:tcBorders>
            <w:vAlign w:val="center"/>
          </w:tcPr>
          <w:p w14:paraId="65B464CB">
            <w:pPr>
              <w:tabs>
                <w:tab w:val="left" w:pos="487"/>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建设单位未取得批准的开工报告擅自施工的处罚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4A3B3EE4">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五十七条：“违反本条例规定，建设单位未取得施工许可证或者开工报告未经批准，擅自施工的，责令停止施工，限期改正，处工程合同价款1%以上2%以下的罚款。”</w:t>
            </w:r>
          </w:p>
          <w:p w14:paraId="5BA7A916">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1076E34D">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2718A5EF">
            <w:pPr>
              <w:autoSpaceDN w:val="0"/>
              <w:jc w:val="center"/>
              <w:textAlignment w:val="center"/>
              <w:rPr>
                <w:rFonts w:ascii="仿宋_GB2312" w:hAnsi="仿宋_GB2312" w:eastAsia="仿宋_GB2312"/>
                <w:color w:val="000000"/>
                <w:sz w:val="24"/>
                <w:szCs w:val="24"/>
              </w:rPr>
            </w:pPr>
            <w:r>
              <w:rPr>
                <w:rFonts w:hint="eastAsia" w:ascii="仿宋" w:hAnsi="仿宋" w:eastAsia="仿宋" w:cs="仿宋"/>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1896AB95">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46F1D339">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61C20A5C">
            <w:pPr>
              <w:autoSpaceDN w:val="0"/>
              <w:jc w:val="center"/>
              <w:textAlignment w:val="center"/>
              <w:rPr>
                <w:rFonts w:ascii="仿宋_GB2312" w:hAnsi="仿宋_GB2312" w:eastAsia="仿宋_GB2312"/>
                <w:color w:val="000000"/>
                <w:sz w:val="24"/>
                <w:szCs w:val="24"/>
              </w:rPr>
            </w:pPr>
          </w:p>
        </w:tc>
      </w:tr>
      <w:tr w14:paraId="51F7DC59">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0B126705">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8</w:t>
            </w:r>
          </w:p>
        </w:tc>
        <w:tc>
          <w:tcPr>
            <w:tcW w:w="2137" w:type="dxa"/>
            <w:tcBorders>
              <w:top w:val="single" w:color="000000" w:sz="4" w:space="0"/>
              <w:left w:val="single" w:color="000000" w:sz="4" w:space="0"/>
              <w:bottom w:val="single" w:color="000000" w:sz="4" w:space="0"/>
              <w:right w:val="single" w:color="000000" w:sz="4" w:space="0"/>
            </w:tcBorders>
            <w:vAlign w:val="center"/>
          </w:tcPr>
          <w:p w14:paraId="782CC8F7">
            <w:pPr>
              <w:tabs>
                <w:tab w:val="left" w:pos="32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建设单位未组织人防工程竣工验收或者验收不合格，擅自交付使用的处罚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702A82FE">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《建设工程质量管理条例》(国务院令第279号)</w:t>
            </w:r>
          </w:p>
          <w:p w14:paraId="4C607499">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第五十八条  违反本条例规定，建设单位有下列行为之一的，责令改正，处工程合同价款百分之二以上百分之四以下的罚款；造成损失的，依法承担赔偿责任：</w:t>
            </w:r>
          </w:p>
          <w:p w14:paraId="5EE659FB">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（一）未组织竣工验收，擅自交付使用的；</w:t>
            </w:r>
          </w:p>
          <w:p w14:paraId="2E9A7A33">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（二）验收不合格，擅自交付使用的；</w:t>
            </w:r>
          </w:p>
          <w:p w14:paraId="0EAB0365">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（三）对不合格的建设工程按照合格工程验收的</w:t>
            </w:r>
          </w:p>
          <w:p w14:paraId="7A5CDC37">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 xml:space="preserve">第七十三条  依照本条例规定，给予单位罚款处罚的，对单位直接负责的主管人员和其他直接责任人员处单位罚款数额百分之五以上百分之十以下的罚款。        </w:t>
            </w:r>
          </w:p>
        </w:tc>
        <w:tc>
          <w:tcPr>
            <w:tcW w:w="1065" w:type="dxa"/>
            <w:tcBorders>
              <w:top w:val="single" w:color="000000" w:sz="4" w:space="0"/>
              <w:left w:val="single" w:color="000000" w:sz="4" w:space="0"/>
              <w:bottom w:val="single" w:color="000000" w:sz="4" w:space="0"/>
              <w:right w:val="single" w:color="000000" w:sz="4" w:space="0"/>
            </w:tcBorders>
            <w:vAlign w:val="center"/>
          </w:tcPr>
          <w:p w14:paraId="0D8BB616">
            <w:pPr>
              <w:tabs>
                <w:tab w:val="left" w:pos="50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1AC4A1D8">
            <w:pPr>
              <w:autoSpaceDN w:val="0"/>
              <w:jc w:val="center"/>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660F6EB4">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397270C9">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24811B20">
            <w:pPr>
              <w:autoSpaceDN w:val="0"/>
              <w:jc w:val="center"/>
              <w:textAlignment w:val="center"/>
              <w:rPr>
                <w:rFonts w:ascii="仿宋_GB2312" w:hAnsi="仿宋_GB2312" w:eastAsia="仿宋_GB2312"/>
                <w:color w:val="000000"/>
                <w:sz w:val="24"/>
                <w:szCs w:val="24"/>
              </w:rPr>
            </w:pPr>
          </w:p>
        </w:tc>
      </w:tr>
      <w:tr w14:paraId="7A5196F5">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55A9FEED">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9</w:t>
            </w:r>
          </w:p>
        </w:tc>
        <w:tc>
          <w:tcPr>
            <w:tcW w:w="2137" w:type="dxa"/>
            <w:tcBorders>
              <w:top w:val="single" w:color="000000" w:sz="4" w:space="0"/>
              <w:left w:val="single" w:color="000000" w:sz="4" w:space="0"/>
              <w:bottom w:val="single" w:color="000000" w:sz="4" w:space="0"/>
              <w:right w:val="single" w:color="000000" w:sz="4" w:space="0"/>
            </w:tcBorders>
            <w:vAlign w:val="center"/>
          </w:tcPr>
          <w:p w14:paraId="3CFB24D8">
            <w:pPr>
              <w:tabs>
                <w:tab w:val="left" w:pos="29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人防工程竣工验收后，建设单位未向人防部门移交建设项目档案的处罚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357BA439">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xml:space="preserve">《建设工程质量管理条例》(国务院令第279号) </w:t>
            </w:r>
          </w:p>
          <w:p w14:paraId="13533068">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第五十九条  违反本条例规定，建设工程竣工验收后，建设单位未向建设行政主管部门或者其他有关部门移交建设项目档案的，责令改正，处1万元以上10万元以下的罚款。</w:t>
            </w:r>
          </w:p>
          <w:p w14:paraId="6C5DD4AA">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　　第七十三条  依照本条例规定，给予单位罚款处罚的，对单位直接负责的主管人员和其他直接责任人员处单位罚款数额百分之五以上百分之十以下的罚款。</w:t>
            </w:r>
          </w:p>
        </w:tc>
        <w:tc>
          <w:tcPr>
            <w:tcW w:w="1065" w:type="dxa"/>
            <w:tcBorders>
              <w:top w:val="single" w:color="000000" w:sz="4" w:space="0"/>
              <w:left w:val="single" w:color="000000" w:sz="4" w:space="0"/>
              <w:bottom w:val="single" w:color="000000" w:sz="4" w:space="0"/>
              <w:right w:val="single" w:color="000000" w:sz="4" w:space="0"/>
            </w:tcBorders>
            <w:vAlign w:val="center"/>
          </w:tcPr>
          <w:p w14:paraId="58861595">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48036B9B">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423ED194">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53D51988">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5E95575F">
            <w:pPr>
              <w:autoSpaceDN w:val="0"/>
              <w:jc w:val="center"/>
              <w:textAlignment w:val="center"/>
              <w:rPr>
                <w:rFonts w:ascii="仿宋_GB2312" w:hAnsi="仿宋_GB2312" w:eastAsia="仿宋_GB2312"/>
                <w:color w:val="000000"/>
                <w:sz w:val="24"/>
                <w:szCs w:val="24"/>
              </w:rPr>
            </w:pPr>
          </w:p>
        </w:tc>
      </w:tr>
      <w:tr w14:paraId="7E2AD079">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43596D8">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10</w:t>
            </w:r>
          </w:p>
        </w:tc>
        <w:tc>
          <w:tcPr>
            <w:tcW w:w="2137" w:type="dxa"/>
            <w:tcBorders>
              <w:top w:val="single" w:color="000000" w:sz="4" w:space="0"/>
              <w:left w:val="single" w:color="000000" w:sz="4" w:space="0"/>
              <w:bottom w:val="single" w:color="000000" w:sz="4" w:space="0"/>
              <w:right w:val="single" w:color="000000" w:sz="4" w:space="0"/>
            </w:tcBorders>
            <w:vAlign w:val="center"/>
          </w:tcPr>
          <w:p w14:paraId="59E09FC9">
            <w:pPr>
              <w:tabs>
                <w:tab w:val="left" w:pos="38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勘察、设计、施工、工程监理等单位超越本单位资质等级承揽人防工程的处罚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5A77B477">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建设工程质量管理条例》(国务院令2000年第279号)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第七十三条:“依照本条例规定,给予单位罚款处罚的,对单位直接负责的主管人员和其他直接责任人员处单位罚款数额百分之五以上百分之十以下的罚款。”</w:t>
            </w:r>
          </w:p>
        </w:tc>
        <w:tc>
          <w:tcPr>
            <w:tcW w:w="1065" w:type="dxa"/>
            <w:tcBorders>
              <w:top w:val="single" w:color="000000" w:sz="4" w:space="0"/>
              <w:left w:val="single" w:color="000000" w:sz="4" w:space="0"/>
              <w:bottom w:val="single" w:color="000000" w:sz="4" w:space="0"/>
              <w:right w:val="single" w:color="000000" w:sz="4" w:space="0"/>
            </w:tcBorders>
            <w:vAlign w:val="center"/>
          </w:tcPr>
          <w:p w14:paraId="7D4A5BFA">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0137B70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2F0E2F27">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627757EC">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37315E58">
            <w:pPr>
              <w:autoSpaceDN w:val="0"/>
              <w:jc w:val="center"/>
              <w:textAlignment w:val="center"/>
              <w:rPr>
                <w:rFonts w:ascii="仿宋_GB2312" w:hAnsi="仿宋_GB2312" w:eastAsia="仿宋_GB2312"/>
                <w:color w:val="000000"/>
                <w:sz w:val="24"/>
                <w:szCs w:val="24"/>
              </w:rPr>
            </w:pPr>
          </w:p>
        </w:tc>
      </w:tr>
      <w:tr w14:paraId="2530EA86">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7F06A61E">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11</w:t>
            </w:r>
          </w:p>
        </w:tc>
        <w:tc>
          <w:tcPr>
            <w:tcW w:w="2137" w:type="dxa"/>
            <w:tcBorders>
              <w:top w:val="single" w:color="000000" w:sz="4" w:space="0"/>
              <w:left w:val="single" w:color="000000" w:sz="4" w:space="0"/>
              <w:bottom w:val="single" w:color="000000" w:sz="4" w:space="0"/>
              <w:right w:val="single" w:color="000000" w:sz="4" w:space="0"/>
            </w:tcBorders>
            <w:vAlign w:val="center"/>
          </w:tcPr>
          <w:p w14:paraId="77704375">
            <w:pPr>
              <w:autoSpaceDN w:val="0"/>
              <w:jc w:val="center"/>
              <w:textAlignment w:val="center"/>
              <w:rPr>
                <w:rFonts w:hint="eastAsia" w:ascii="仿宋" w:hAnsi="仿宋" w:eastAsia="仿宋" w:cs="仿宋"/>
                <w:color w:val="000000"/>
                <w:sz w:val="24"/>
                <w:szCs w:val="24"/>
              </w:rPr>
            </w:pPr>
          </w:p>
          <w:p w14:paraId="52D1DC06">
            <w:pPr>
              <w:bidi w:val="0"/>
              <w:ind w:firstLine="457"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勘察、设计、施工、工程监理等单位允许其他单位或者个人以本单位名义承揽人防工程的处罚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58D3B9D3">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06539E74">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7A658532">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18F5EC1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3B2984DB">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37847704">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27C66D83">
            <w:pPr>
              <w:autoSpaceDN w:val="0"/>
              <w:jc w:val="center"/>
              <w:textAlignment w:val="center"/>
              <w:rPr>
                <w:rFonts w:ascii="仿宋_GB2312" w:hAnsi="仿宋_GB2312" w:eastAsia="仿宋_GB2312"/>
                <w:color w:val="000000"/>
                <w:sz w:val="24"/>
                <w:szCs w:val="24"/>
              </w:rPr>
            </w:pPr>
          </w:p>
        </w:tc>
      </w:tr>
      <w:tr w14:paraId="3DB0C2FE">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7DAD2AF8">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12</w:t>
            </w:r>
          </w:p>
        </w:tc>
        <w:tc>
          <w:tcPr>
            <w:tcW w:w="2137" w:type="dxa"/>
            <w:tcBorders>
              <w:top w:val="single" w:color="000000" w:sz="4" w:space="0"/>
              <w:left w:val="single" w:color="000000" w:sz="4" w:space="0"/>
              <w:bottom w:val="single" w:color="000000" w:sz="4" w:space="0"/>
              <w:right w:val="single" w:color="000000" w:sz="4" w:space="0"/>
            </w:tcBorders>
            <w:vAlign w:val="center"/>
          </w:tcPr>
          <w:p w14:paraId="2C824DA8">
            <w:pPr>
              <w:autoSpaceDN w:val="0"/>
              <w:jc w:val="center"/>
              <w:textAlignment w:val="center"/>
              <w:rPr>
                <w:rFonts w:hint="eastAsia" w:ascii="仿宋" w:hAnsi="仿宋" w:eastAsia="仿宋" w:cs="仿宋"/>
                <w:color w:val="000000"/>
                <w:sz w:val="24"/>
                <w:szCs w:val="24"/>
              </w:rPr>
            </w:pPr>
          </w:p>
          <w:p w14:paraId="1B700EAD">
            <w:pPr>
              <w:bidi w:val="0"/>
              <w:ind w:firstLine="472"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承包单位将承包的人防工程转包或者违法分包的处罚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6E1D6747">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14:paraId="70C10B9E">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2DF07A4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6059F3FB">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50E1679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1B409EDA">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45846A55">
            <w:pPr>
              <w:autoSpaceDN w:val="0"/>
              <w:jc w:val="center"/>
              <w:textAlignment w:val="center"/>
              <w:rPr>
                <w:rFonts w:ascii="仿宋_GB2312" w:hAnsi="仿宋_GB2312" w:eastAsia="仿宋_GB2312"/>
                <w:color w:val="000000"/>
                <w:sz w:val="24"/>
                <w:szCs w:val="24"/>
              </w:rPr>
            </w:pPr>
          </w:p>
        </w:tc>
      </w:tr>
      <w:tr w14:paraId="271EC8AE">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7713BA50">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13</w:t>
            </w:r>
          </w:p>
        </w:tc>
        <w:tc>
          <w:tcPr>
            <w:tcW w:w="2137" w:type="dxa"/>
            <w:tcBorders>
              <w:top w:val="single" w:color="000000" w:sz="4" w:space="0"/>
              <w:left w:val="single" w:color="000000" w:sz="4" w:space="0"/>
              <w:bottom w:val="single" w:color="000000" w:sz="4" w:space="0"/>
              <w:right w:val="single" w:color="000000" w:sz="4" w:space="0"/>
            </w:tcBorders>
            <w:vAlign w:val="center"/>
          </w:tcPr>
          <w:p w14:paraId="494A58B3">
            <w:pPr>
              <w:autoSpaceDN w:val="0"/>
              <w:jc w:val="center"/>
              <w:textAlignment w:val="center"/>
              <w:rPr>
                <w:rFonts w:hint="eastAsia" w:ascii="仿宋" w:hAnsi="仿宋" w:eastAsia="仿宋" w:cs="仿宋"/>
                <w:color w:val="000000"/>
                <w:sz w:val="24"/>
                <w:szCs w:val="24"/>
              </w:rPr>
            </w:pPr>
          </w:p>
          <w:p w14:paraId="3C76D4AB">
            <w:pPr>
              <w:bidi w:val="0"/>
              <w:ind w:firstLine="547"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人防工程勘察单位未按照工程建设强制性标准进行勘察，设计单位未根据勘察成果文件进行设计或者指定建筑材料、建筑构配件的生产厂、供应商的或者未按照工程建设强制性标准进行设计等的处罚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0206B95D">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p w14:paraId="1D29783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612AF33A">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4F7D015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5F71B5B9">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728A82BF">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2DD5058D">
            <w:pPr>
              <w:autoSpaceDN w:val="0"/>
              <w:jc w:val="center"/>
              <w:textAlignment w:val="center"/>
              <w:rPr>
                <w:rFonts w:ascii="仿宋_GB2312" w:hAnsi="仿宋_GB2312" w:eastAsia="仿宋_GB2312"/>
                <w:color w:val="000000"/>
                <w:sz w:val="24"/>
                <w:szCs w:val="24"/>
              </w:rPr>
            </w:pPr>
          </w:p>
        </w:tc>
      </w:tr>
      <w:tr w14:paraId="1DC361C4">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7C6F299D">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14</w:t>
            </w:r>
          </w:p>
        </w:tc>
        <w:tc>
          <w:tcPr>
            <w:tcW w:w="2137" w:type="dxa"/>
            <w:tcBorders>
              <w:top w:val="single" w:color="000000" w:sz="4" w:space="0"/>
              <w:left w:val="single" w:color="000000" w:sz="4" w:space="0"/>
              <w:bottom w:val="single" w:color="000000" w:sz="4" w:space="0"/>
              <w:right w:val="single" w:color="000000" w:sz="4" w:space="0"/>
            </w:tcBorders>
            <w:vAlign w:val="center"/>
          </w:tcPr>
          <w:p w14:paraId="389C8E6F">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人防工程施工单位在施工中偷工减料或者使用不合格的建筑材料、建筑构配件和设备等的处罚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714AF146">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84F3F25">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34765056">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136911AF">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30E9EED0">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1A45CC64">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099B38F6">
            <w:pPr>
              <w:autoSpaceDN w:val="0"/>
              <w:jc w:val="center"/>
              <w:textAlignment w:val="center"/>
              <w:rPr>
                <w:rFonts w:ascii="仿宋_GB2312" w:hAnsi="仿宋_GB2312" w:eastAsia="仿宋_GB2312"/>
                <w:color w:val="000000"/>
                <w:sz w:val="24"/>
                <w:szCs w:val="24"/>
              </w:rPr>
            </w:pPr>
          </w:p>
        </w:tc>
      </w:tr>
      <w:tr w14:paraId="17B12FD1">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546B1A1D">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15</w:t>
            </w:r>
          </w:p>
        </w:tc>
        <w:tc>
          <w:tcPr>
            <w:tcW w:w="2137" w:type="dxa"/>
            <w:tcBorders>
              <w:top w:val="single" w:color="000000" w:sz="4" w:space="0"/>
              <w:left w:val="single" w:color="000000" w:sz="4" w:space="0"/>
              <w:bottom w:val="single" w:color="000000" w:sz="4" w:space="0"/>
              <w:right w:val="single" w:color="000000" w:sz="4" w:space="0"/>
            </w:tcBorders>
            <w:vAlign w:val="center"/>
          </w:tcPr>
          <w:p w14:paraId="46366D1E">
            <w:pPr>
              <w:tabs>
                <w:tab w:val="left" w:pos="487"/>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人防工程施工单位未对建筑材料、建筑构配件、设备和商品混凝土进行检验，或者未对涉及结构安全的试块、试件以及有关材料取样检测的处罚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714276EE">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6A3BE158">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5231DE86">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0DA21E76">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6D63F8B5">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1F3C7A15">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1EC69E4E">
            <w:pPr>
              <w:autoSpaceDN w:val="0"/>
              <w:jc w:val="center"/>
              <w:textAlignment w:val="center"/>
              <w:rPr>
                <w:rFonts w:ascii="仿宋_GB2312" w:hAnsi="仿宋_GB2312" w:eastAsia="仿宋_GB2312"/>
                <w:color w:val="000000"/>
                <w:sz w:val="24"/>
                <w:szCs w:val="24"/>
              </w:rPr>
            </w:pPr>
          </w:p>
        </w:tc>
      </w:tr>
      <w:tr w14:paraId="67D6D0A3">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0E2252D5">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16</w:t>
            </w:r>
          </w:p>
        </w:tc>
        <w:tc>
          <w:tcPr>
            <w:tcW w:w="2137" w:type="dxa"/>
            <w:tcBorders>
              <w:top w:val="single" w:color="000000" w:sz="4" w:space="0"/>
              <w:left w:val="single" w:color="000000" w:sz="4" w:space="0"/>
              <w:bottom w:val="single" w:color="000000" w:sz="4" w:space="0"/>
              <w:right w:val="single" w:color="000000" w:sz="4" w:space="0"/>
            </w:tcBorders>
            <w:vAlign w:val="center"/>
          </w:tcPr>
          <w:p w14:paraId="01CD5A38">
            <w:pPr>
              <w:tabs>
                <w:tab w:val="left" w:pos="262"/>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施工单位不履行人防工程保修义务或者拖延履行保修义务的处罚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28A0B09F">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六条：“违反本条例规定，施工单位不履行保修义务或者拖延履行保修义务的，责令改正，处10万元以上20万元以下的罚款，并对在保修期内因质量缺陷造成的损失承担赔偿责任。”</w:t>
            </w:r>
          </w:p>
          <w:p w14:paraId="33B91740">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3B7C88B8">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6F1AE89E">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6B5D1D8C">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5920DBF5">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0E8022AC">
            <w:pPr>
              <w:autoSpaceDN w:val="0"/>
              <w:jc w:val="center"/>
              <w:textAlignment w:val="center"/>
              <w:rPr>
                <w:rFonts w:ascii="仿宋_GB2312" w:hAnsi="仿宋_GB2312" w:eastAsia="仿宋_GB2312"/>
                <w:color w:val="000000"/>
                <w:sz w:val="24"/>
                <w:szCs w:val="24"/>
              </w:rPr>
            </w:pPr>
          </w:p>
        </w:tc>
      </w:tr>
      <w:tr w14:paraId="447B4E5B">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23185EDD">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17</w:t>
            </w:r>
          </w:p>
        </w:tc>
        <w:tc>
          <w:tcPr>
            <w:tcW w:w="2137" w:type="dxa"/>
            <w:tcBorders>
              <w:top w:val="single" w:color="000000" w:sz="4" w:space="0"/>
              <w:left w:val="single" w:color="000000" w:sz="4" w:space="0"/>
              <w:bottom w:val="single" w:color="000000" w:sz="4" w:space="0"/>
              <w:right w:val="single" w:color="000000" w:sz="4" w:space="0"/>
            </w:tcBorders>
            <w:vAlign w:val="center"/>
          </w:tcPr>
          <w:p w14:paraId="42EBCE35">
            <w:pPr>
              <w:tabs>
                <w:tab w:val="left" w:pos="247"/>
              </w:tabs>
              <w:autoSpaceDN w:val="0"/>
              <w:jc w:val="lef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ab/>
            </w:r>
            <w:r>
              <w:rPr>
                <w:rFonts w:hint="eastAsia" w:ascii="仿宋_GB2312" w:hAnsi="仿宋_GB2312" w:eastAsia="仿宋_GB2312"/>
                <w:color w:val="000000"/>
                <w:sz w:val="24"/>
                <w:szCs w:val="24"/>
                <w:lang w:eastAsia="zh-CN"/>
              </w:rPr>
              <w:t>人防工程监理单位与建设单位或者施工单位串通，弄虚作假、降低工程质量或者将不合格的建设工程、建筑材料、建筑构配件和设备按照合格签字的处罚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14D202E6">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七条：“工程监理单位有下列行为之一的，责令改正，处50万元以上100万元以下的罚款，降低资质等级或吊销资质证书；有违法所得的，予以没收；造成损失的，承担连带赔偿责任：（一）与建设单位或者施工单位串通，弄虚作假、降低工程质量的；（二）将不合格的建设工程、建筑材料、建筑构配件和设备按照合格签字的。”</w:t>
            </w:r>
          </w:p>
          <w:p w14:paraId="105B0270">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097200EE">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4951D57E">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4B4334F5">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477C8BAC">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704B3A65">
            <w:pPr>
              <w:autoSpaceDN w:val="0"/>
              <w:jc w:val="center"/>
              <w:textAlignment w:val="center"/>
              <w:rPr>
                <w:rFonts w:ascii="仿宋_GB2312" w:hAnsi="仿宋_GB2312" w:eastAsia="仿宋_GB2312"/>
                <w:color w:val="000000"/>
                <w:sz w:val="24"/>
                <w:szCs w:val="24"/>
              </w:rPr>
            </w:pPr>
          </w:p>
        </w:tc>
      </w:tr>
      <w:tr w14:paraId="2ACD155F">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3DD4CFD5">
            <w:pPr>
              <w:autoSpaceDN w:val="0"/>
              <w:jc w:val="center"/>
              <w:textAlignment w:val="center"/>
              <w:rPr>
                <w:rFonts w:hint="default"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18</w:t>
            </w:r>
          </w:p>
        </w:tc>
        <w:tc>
          <w:tcPr>
            <w:tcW w:w="2137" w:type="dxa"/>
            <w:tcBorders>
              <w:top w:val="single" w:color="000000" w:sz="4" w:space="0"/>
              <w:left w:val="single" w:color="000000" w:sz="4" w:space="0"/>
              <w:bottom w:val="single" w:color="000000" w:sz="4" w:space="0"/>
              <w:right w:val="single" w:color="000000" w:sz="4" w:space="0"/>
            </w:tcBorders>
            <w:vAlign w:val="center"/>
          </w:tcPr>
          <w:p w14:paraId="34B751BC">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工程监理单位与被监理人防工程的施工承包单位以及建筑材料、建筑构配件和设备供应单位有隶属关系或者其他利害关系承担监理项目建设工程的监理业务的处罚</w:t>
            </w:r>
          </w:p>
        </w:tc>
        <w:tc>
          <w:tcPr>
            <w:tcW w:w="4560" w:type="dxa"/>
            <w:tcBorders>
              <w:top w:val="single" w:color="000000" w:sz="4" w:space="0"/>
              <w:left w:val="single" w:color="000000" w:sz="4" w:space="0"/>
              <w:bottom w:val="single" w:color="000000" w:sz="4" w:space="0"/>
              <w:right w:val="single" w:color="000000" w:sz="4" w:space="0"/>
            </w:tcBorders>
            <w:vAlign w:val="center"/>
          </w:tcPr>
          <w:p w14:paraId="3E82C895">
            <w:pPr>
              <w:autoSpaceDN w:val="0"/>
              <w:jc w:val="center"/>
              <w:textAlignment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建设工程质量管理条例》（国务院令第714号第二次修改）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4C958F6F">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2.《河南省人民防空工程管理办法》（河南省人民政府令第159号）第三十七条：“违反本办法，《建设工程质量管理条例》有处罚规定的，从其规定。”</w:t>
            </w:r>
          </w:p>
        </w:tc>
        <w:tc>
          <w:tcPr>
            <w:tcW w:w="1065" w:type="dxa"/>
            <w:tcBorders>
              <w:top w:val="single" w:color="000000" w:sz="4" w:space="0"/>
              <w:left w:val="single" w:color="000000" w:sz="4" w:space="0"/>
              <w:bottom w:val="single" w:color="000000" w:sz="4" w:space="0"/>
              <w:right w:val="single" w:color="000000" w:sz="4" w:space="0"/>
            </w:tcBorders>
            <w:vAlign w:val="center"/>
          </w:tcPr>
          <w:p w14:paraId="1379A2E1">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行政处罚</w:t>
            </w:r>
          </w:p>
        </w:tc>
        <w:tc>
          <w:tcPr>
            <w:tcW w:w="1215" w:type="dxa"/>
            <w:tcBorders>
              <w:top w:val="single" w:color="000000" w:sz="4" w:space="0"/>
              <w:left w:val="single" w:color="000000" w:sz="4" w:space="0"/>
              <w:bottom w:val="single" w:color="000000" w:sz="4" w:space="0"/>
              <w:right w:val="single" w:color="000000" w:sz="4" w:space="0"/>
            </w:tcBorders>
            <w:vAlign w:val="center"/>
          </w:tcPr>
          <w:p w14:paraId="1E06327F">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eastAsia="zh-CN"/>
              </w:rPr>
              <w:t>工程股</w:t>
            </w:r>
          </w:p>
        </w:tc>
        <w:tc>
          <w:tcPr>
            <w:tcW w:w="1590" w:type="dxa"/>
            <w:tcBorders>
              <w:top w:val="single" w:color="000000" w:sz="4" w:space="0"/>
              <w:left w:val="single" w:color="000000" w:sz="4" w:space="0"/>
              <w:bottom w:val="single" w:color="000000" w:sz="4" w:space="0"/>
              <w:right w:val="single" w:color="000000" w:sz="4" w:space="0"/>
            </w:tcBorders>
            <w:vAlign w:val="center"/>
          </w:tcPr>
          <w:p w14:paraId="4C6B2DD4">
            <w:pPr>
              <w:autoSpaceDN w:val="0"/>
              <w:jc w:val="center"/>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取消</w:t>
            </w:r>
          </w:p>
        </w:tc>
        <w:tc>
          <w:tcPr>
            <w:tcW w:w="1590" w:type="dxa"/>
            <w:tcBorders>
              <w:top w:val="single" w:color="000000" w:sz="4" w:space="0"/>
              <w:left w:val="single" w:color="000000" w:sz="4" w:space="0"/>
              <w:bottom w:val="single" w:color="000000" w:sz="4" w:space="0"/>
              <w:right w:val="single" w:color="000000" w:sz="4" w:space="0"/>
            </w:tcBorders>
          </w:tcPr>
          <w:p w14:paraId="56857E9F">
            <w:pPr>
              <w:autoSpaceDN w:val="0"/>
              <w:textAlignment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val="en-US" w:eastAsia="zh-CN"/>
              </w:rPr>
              <w:t>因机构改革由城管局划入，按照市国动办权责清单结合我县实际而取消。</w:t>
            </w:r>
          </w:p>
        </w:tc>
        <w:tc>
          <w:tcPr>
            <w:tcW w:w="1045" w:type="dxa"/>
            <w:tcBorders>
              <w:top w:val="single" w:color="000000" w:sz="4" w:space="0"/>
              <w:left w:val="single" w:color="000000" w:sz="4" w:space="0"/>
              <w:bottom w:val="single" w:color="000000" w:sz="4" w:space="0"/>
              <w:right w:val="single" w:color="000000" w:sz="4" w:space="0"/>
            </w:tcBorders>
            <w:vAlign w:val="center"/>
          </w:tcPr>
          <w:p w14:paraId="3547BA8B">
            <w:pPr>
              <w:autoSpaceDN w:val="0"/>
              <w:jc w:val="center"/>
              <w:textAlignment w:val="center"/>
              <w:rPr>
                <w:rFonts w:ascii="仿宋_GB2312" w:hAnsi="仿宋_GB2312" w:eastAsia="仿宋_GB2312"/>
                <w:color w:val="000000"/>
                <w:sz w:val="24"/>
                <w:szCs w:val="24"/>
              </w:rPr>
            </w:pPr>
          </w:p>
        </w:tc>
      </w:tr>
    </w:tbl>
    <w:p w14:paraId="5B1FC2C9">
      <w:pPr>
        <w:autoSpaceDN w:val="0"/>
        <w:spacing w:line="700" w:lineRule="exact"/>
        <w:jc w:val="left"/>
        <w:textAlignment w:val="center"/>
        <w:rPr>
          <w:rFonts w:hint="eastAsia" w:ascii="黑体" w:hAnsi="黑体" w:eastAsia="黑体" w:cs="黑体"/>
          <w:sz w:val="32"/>
          <w:szCs w:val="32"/>
        </w:rPr>
        <w:sectPr>
          <w:pgSz w:w="16838" w:h="11906" w:orient="landscape"/>
          <w:pgMar w:top="1587" w:right="1531" w:bottom="1474" w:left="1531" w:header="851" w:footer="992" w:gutter="0"/>
          <w:pgNumType w:fmt="numberInDash"/>
          <w:cols w:space="0" w:num="1"/>
          <w:docGrid w:type="lines" w:linePitch="323" w:charSpace="0"/>
        </w:sectPr>
      </w:pPr>
    </w:p>
    <w:p w14:paraId="55286D1C">
      <w:pPr>
        <w:autoSpaceDN w:val="0"/>
        <w:spacing w:line="700" w:lineRule="exact"/>
        <w:jc w:val="left"/>
        <w:textAlignment w:val="cente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2647F5C">
      <w:pPr>
        <w:autoSpaceDN w:val="0"/>
        <w:spacing w:line="700" w:lineRule="exact"/>
        <w:ind w:firstLine="1320" w:firstLineChars="300"/>
        <w:jc w:val="left"/>
        <w:textAlignment w:val="center"/>
        <w:rPr>
          <w:rFonts w:ascii="方正大标宋_GBK" w:hAnsi="方正大标宋_GBK" w:eastAsia="方正大标宋_GBK"/>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eastAsia="zh-CN"/>
        </w:rPr>
        <w:t>政府办</w:t>
      </w:r>
      <w:r>
        <w:rPr>
          <w:rFonts w:hint="eastAsia" w:ascii="方正小标宋_GBK" w:hAnsi="方正小标宋_GBK" w:eastAsia="方正小标宋_GBK" w:cs="方正小标宋_GBK"/>
          <w:sz w:val="44"/>
          <w:szCs w:val="44"/>
        </w:rPr>
        <w:t>权责清单目录</w:t>
      </w:r>
    </w:p>
    <w:p w14:paraId="48FCB6C5">
      <w:pPr>
        <w:spacing w:line="52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项）</w:t>
      </w:r>
    </w:p>
    <w:tbl>
      <w:tblPr>
        <w:tblStyle w:val="8"/>
        <w:tblW w:w="987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0"/>
        <w:gridCol w:w="7650"/>
        <w:gridCol w:w="1410"/>
      </w:tblGrid>
      <w:tr w14:paraId="39A959D1">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1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E73C639">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ascii="Calibri" w:hAnsi="Calibri" w:cs="Calibri"/>
                <w:sz w:val="21"/>
                <w:szCs w:val="21"/>
              </w:rPr>
            </w:pPr>
            <w:r>
              <w:rPr>
                <w:rFonts w:ascii="黑体" w:hAnsi="宋体" w:eastAsia="黑体" w:cs="黑体"/>
                <w:sz w:val="24"/>
                <w:szCs w:val="24"/>
              </w:rPr>
              <w:t>序号</w:t>
            </w:r>
          </w:p>
        </w:tc>
        <w:tc>
          <w:tcPr>
            <w:tcW w:w="76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919126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rPr>
              <w:t>职权名称</w:t>
            </w:r>
          </w:p>
        </w:tc>
        <w:tc>
          <w:tcPr>
            <w:tcW w:w="141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08CF405">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24"/>
                <w:szCs w:val="24"/>
              </w:rPr>
              <w:t>职权类别</w:t>
            </w:r>
          </w:p>
        </w:tc>
      </w:tr>
      <w:tr w14:paraId="53D65D87">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9870"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42B85BB">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Style w:val="10"/>
                <w:rFonts w:ascii="仿宋_GB2312" w:hAnsi="Calibri" w:eastAsia="仿宋_GB2312" w:cs="仿宋_GB2312"/>
                <w:sz w:val="24"/>
                <w:szCs w:val="24"/>
              </w:rPr>
              <w:t>一、行政许可（6项）</w:t>
            </w:r>
          </w:p>
        </w:tc>
      </w:tr>
      <w:tr w14:paraId="646E0C7C">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B02EDB7">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1</w:t>
            </w:r>
          </w:p>
        </w:tc>
        <w:tc>
          <w:tcPr>
            <w:tcW w:w="76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37A2FA7">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人民防空警报设施拆除审批</w:t>
            </w:r>
          </w:p>
        </w:tc>
        <w:tc>
          <w:tcPr>
            <w:tcW w:w="141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853B568">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6AE1ED38">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3AA8A5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2</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91FC2A3">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应建防空地下室的民用建筑项目报建审批（子项：新建民用建筑防空地下室同步建设审批。）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90D894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096E0607">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DC920DC">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3</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532BE54">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城市地下交通干线及其他地下工程兼顾人民防空需要审查</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931624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220F7AF6">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66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0520D8D">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4</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018544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单独修建的人民防空工程报建审批（子项：1）单独修建的人民防空工程项目建议书审批（政府投资项目）。2）单独修建的人民防空工程项目可行性研究报告审批（政府投资项目）。3）单独修建的人民防空工程项目初步设计文件审批（政府投资项目）。4）单独修建的人民防空工程项目开工报告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8BF65EB">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0F578E00">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E74F1B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5</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2DADC4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人民防空工程拆除审批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E45F2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4DC55AB7">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EAB912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6</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2C5891C">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人民防空工程报废审批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861FBB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行政许可</w:t>
            </w:r>
          </w:p>
        </w:tc>
      </w:tr>
      <w:tr w14:paraId="3C71EBDE">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9870"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C38714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Style w:val="10"/>
                <w:rFonts w:hint="default" w:ascii="仿宋_GB2312" w:hAnsi="Calibri" w:eastAsia="仿宋_GB2312" w:cs="仿宋_GB2312"/>
                <w:sz w:val="24"/>
                <w:szCs w:val="24"/>
              </w:rPr>
              <w:t>二、行政处罚（2项）</w:t>
            </w:r>
          </w:p>
        </w:tc>
      </w:tr>
      <w:tr w14:paraId="05E3A6B8">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5D62E04">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1</w:t>
            </w:r>
          </w:p>
        </w:tc>
        <w:tc>
          <w:tcPr>
            <w:tcW w:w="76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B6CEDAC">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不建防空地下室的处罚</w:t>
            </w:r>
          </w:p>
        </w:tc>
        <w:tc>
          <w:tcPr>
            <w:tcW w:w="141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986443B">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行政处罚</w:t>
            </w:r>
          </w:p>
        </w:tc>
      </w:tr>
      <w:tr w14:paraId="29514410">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9379137">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2</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B0F946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侵占人民防空工程的；不按照国家规定的防护标准和质量标准修建人民防空工程的；违反国家规定，改变人民防空工程的主体结构，拆除人民防空工程设施或者采用其他方法危害人民防空工程的安全和使用效能的；拆除人民防空工程后拒不补建的；占用人民防空通信专用频率、使用与防空警报相同的音响信号或者擅自拆除人民防空通信、警报设施的；阻挠安装人民防空通信、警报设施的；向人民防空工程内排入废水、废气或者倾倒废弃物的处罚</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296B5B9">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行政处罚</w:t>
            </w:r>
          </w:p>
        </w:tc>
      </w:tr>
      <w:tr w14:paraId="2AA849DA">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9870"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A0E1B0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Style w:val="10"/>
                <w:rFonts w:hint="default" w:ascii="仿宋_GB2312" w:hAnsi="Calibri" w:eastAsia="仿宋_GB2312" w:cs="仿宋_GB2312"/>
                <w:sz w:val="24"/>
                <w:szCs w:val="24"/>
              </w:rPr>
              <w:t>三、行政检查（4项）</w:t>
            </w:r>
          </w:p>
        </w:tc>
      </w:tr>
      <w:tr w14:paraId="6C712229">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1A6894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1</w:t>
            </w:r>
          </w:p>
        </w:tc>
        <w:tc>
          <w:tcPr>
            <w:tcW w:w="76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745113D">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人民防空工程平时开发利用及城市地下空间开发利用兼顾人民防空要求的管理和监督检查</w:t>
            </w:r>
          </w:p>
        </w:tc>
        <w:tc>
          <w:tcPr>
            <w:tcW w:w="141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6237139">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行政检查</w:t>
            </w:r>
          </w:p>
        </w:tc>
      </w:tr>
      <w:tr w14:paraId="5EA0E4E9">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805B4D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2</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09ECC9E">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对城市和经济目标的人民防空建设进行监督检查</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77EDB95">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行政检查</w:t>
            </w:r>
          </w:p>
        </w:tc>
      </w:tr>
      <w:tr w14:paraId="4DF277FE">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CF996B0">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3</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424F0DA">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人防工程维护管理的监督检查</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5B89B34">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行政检查</w:t>
            </w:r>
          </w:p>
        </w:tc>
      </w:tr>
      <w:tr w14:paraId="293E71D4">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F8B6D64">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4</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1252BF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防空地下室易地建设费使用管理情况监督检查</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0DAA81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行政检查</w:t>
            </w:r>
          </w:p>
        </w:tc>
      </w:tr>
      <w:tr w14:paraId="1E90A9C2">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9870"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CB8AAF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Style w:val="10"/>
                <w:rFonts w:hint="default" w:ascii="仿宋_GB2312" w:hAnsi="Calibri" w:eastAsia="仿宋_GB2312" w:cs="仿宋_GB2312"/>
                <w:sz w:val="24"/>
                <w:szCs w:val="24"/>
              </w:rPr>
              <w:t>四、其他职权（8项）</w:t>
            </w:r>
          </w:p>
        </w:tc>
      </w:tr>
      <w:tr w14:paraId="685AC93D">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CDDB41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1</w:t>
            </w:r>
          </w:p>
        </w:tc>
        <w:tc>
          <w:tcPr>
            <w:tcW w:w="76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D88F0C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人民防空工程平时开发利用登记（子项：1）公用人民防空工程平时开发利用审批。2）非公用人民防空工程平时开发利用登记手续办理。）</w:t>
            </w:r>
          </w:p>
        </w:tc>
        <w:tc>
          <w:tcPr>
            <w:tcW w:w="141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1081F1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16BB9A16">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7D1D693">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2</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E7A1933">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人民防空工程、兼顾人民防空需要的地下工程竣工验收备案（联合验收、统一备案）</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A9D28B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0D1B4506">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8600559">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3</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B6F71B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人民防空工程质量监督手续办理（可以与施工许可证合并办理）</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1777F36">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52D09106">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0EA6BAA">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4</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DA92290">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人民防空工程施工质量检查</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26DB2CA">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042739B4">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B403736">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5</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C88A938">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建设项目竣工验收人防核实认可</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7662B60">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580C6E4F">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850D387">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6</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316D8B1">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省级以下人民防空信息系统建设项目审批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454B2A6">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5E492310">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515CAE2">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7</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0BBC8C5">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人民防空疏散避难训练场所、应急救援指挥中心建设项目审批（省级人民防空疏散避难训练场所、应急救援指挥中心建设项目除外）</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ED266C0">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r w14:paraId="0DDE064D">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1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34C50E8">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8</w:t>
            </w:r>
          </w:p>
        </w:tc>
        <w:tc>
          <w:tcPr>
            <w:tcW w:w="76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B8C3A8F">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center"/>
              <w:rPr>
                <w:rFonts w:hint="default" w:ascii="Calibri" w:hAnsi="Calibri" w:cs="Calibri"/>
                <w:sz w:val="21"/>
                <w:szCs w:val="21"/>
              </w:rPr>
            </w:pPr>
            <w:r>
              <w:rPr>
                <w:rFonts w:hint="default" w:ascii="仿宋_GB2312" w:hAnsi="Calibri" w:eastAsia="仿宋_GB2312" w:cs="仿宋_GB2312"/>
                <w:sz w:val="24"/>
                <w:szCs w:val="24"/>
              </w:rPr>
              <w:t>人民防空工程改造审批</w:t>
            </w:r>
          </w:p>
        </w:tc>
        <w:tc>
          <w:tcPr>
            <w:tcW w:w="14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378107B">
            <w:pPr>
              <w:pStyle w:val="7"/>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center"/>
              <w:rPr>
                <w:rFonts w:hint="default" w:ascii="Calibri" w:hAnsi="Calibri" w:cs="Calibri"/>
                <w:sz w:val="21"/>
                <w:szCs w:val="21"/>
              </w:rPr>
            </w:pPr>
            <w:r>
              <w:rPr>
                <w:rFonts w:hint="default" w:ascii="仿宋_GB2312" w:hAnsi="Calibri" w:eastAsia="仿宋_GB2312" w:cs="仿宋_GB2312"/>
                <w:sz w:val="24"/>
                <w:szCs w:val="24"/>
              </w:rPr>
              <w:t>其他职权</w:t>
            </w:r>
          </w:p>
        </w:tc>
      </w:tr>
    </w:tbl>
    <w:p w14:paraId="0316E4F4">
      <w:pPr>
        <w:autoSpaceDN w:val="0"/>
        <w:spacing w:line="700" w:lineRule="exact"/>
        <w:textAlignment w:val="center"/>
        <w:rPr>
          <w:rFonts w:ascii="黑体" w:hAnsi="黑体" w:eastAsia="黑体"/>
          <w:sz w:val="32"/>
          <w:szCs w:val="32"/>
        </w:rPr>
      </w:pPr>
    </w:p>
    <w:p w14:paraId="29B04BD6">
      <w:pPr>
        <w:autoSpaceDN w:val="0"/>
        <w:spacing w:line="700" w:lineRule="exact"/>
        <w:textAlignment w:val="center"/>
        <w:rPr>
          <w:rFonts w:ascii="黑体" w:hAnsi="黑体" w:eastAsia="黑体"/>
          <w:sz w:val="32"/>
          <w:szCs w:val="32"/>
        </w:rPr>
      </w:pPr>
    </w:p>
    <w:p w14:paraId="2E7BB696">
      <w:pPr>
        <w:topLinePunct/>
        <w:spacing w:line="240" w:lineRule="auto"/>
        <w:rPr>
          <w:rFonts w:hint="eastAsia" w:ascii="黑体" w:hAnsi="黑体" w:eastAsia="黑体" w:cs="黑体"/>
          <w:sz w:val="32"/>
          <w:szCs w:val="32"/>
        </w:rPr>
        <w:sectPr>
          <w:footerReference r:id="rId3" w:type="default"/>
          <w:pgSz w:w="11906" w:h="16838"/>
          <w:pgMar w:top="1531" w:right="1474" w:bottom="1531" w:left="1587" w:header="851" w:footer="992" w:gutter="0"/>
          <w:pgNumType w:fmt="numberInDash"/>
          <w:cols w:space="0" w:num="1"/>
          <w:rtlGutter w:val="0"/>
          <w:docGrid w:type="lines" w:linePitch="327" w:charSpace="0"/>
        </w:sectPr>
      </w:pPr>
    </w:p>
    <w:p w14:paraId="49E22EFF">
      <w:pPr>
        <w:topLinePunct/>
        <w:spacing w:line="240" w:lineRule="auto"/>
        <w:rPr>
          <w:rFonts w:ascii="黑体" w:hAnsi="黑体" w:eastAsia="黑体"/>
          <w:sz w:val="34"/>
          <w:szCs w:val="34"/>
        </w:rPr>
      </w:pPr>
      <w:r>
        <w:rPr>
          <w:rFonts w:hint="eastAsia" w:ascii="黑体" w:hAnsi="黑体" w:eastAsia="黑体" w:cs="黑体"/>
          <w:sz w:val="32"/>
          <w:szCs w:val="32"/>
        </w:rPr>
        <w:t>附件</w:t>
      </w:r>
      <w:r>
        <w:rPr>
          <w:rFonts w:ascii="黑体" w:hAnsi="黑体" w:eastAsia="黑体" w:cs="黑体"/>
          <w:sz w:val="32"/>
          <w:szCs w:val="32"/>
        </w:rPr>
        <w:t>3</w:t>
      </w:r>
    </w:p>
    <w:p w14:paraId="483B6828">
      <w:pPr>
        <w:spacing w:line="520" w:lineRule="exact"/>
        <w:jc w:val="center"/>
        <w:rPr>
          <w:rFonts w:ascii="方正小标宋_GBK" w:hAnsi="方正小标宋_GBK" w:eastAsia="方正小标宋_GBK"/>
          <w:kern w:val="0"/>
          <w:sz w:val="44"/>
          <w:szCs w:val="44"/>
        </w:rPr>
      </w:pPr>
      <w:r>
        <w:rPr>
          <w:rFonts w:hint="eastAsia" w:ascii="方正小标宋_GBK" w:hAnsi="方正小标宋_GBK" w:eastAsia="方正小标宋_GBK" w:cs="方正小标宋_GBK"/>
          <w:kern w:val="0"/>
          <w:sz w:val="44"/>
          <w:szCs w:val="44"/>
        </w:rPr>
        <w:t>南召县</w:t>
      </w:r>
      <w:r>
        <w:rPr>
          <w:rFonts w:hint="eastAsia" w:ascii="方正小标宋_GBK" w:hAnsi="方正小标宋_GBK" w:eastAsia="方正小标宋_GBK" w:cs="方正小标宋_GBK"/>
          <w:kern w:val="0"/>
          <w:sz w:val="44"/>
          <w:szCs w:val="44"/>
          <w:lang w:eastAsia="zh-CN"/>
        </w:rPr>
        <w:t>政府办</w:t>
      </w:r>
      <w:bookmarkStart w:id="4" w:name="_GoBack"/>
      <w:bookmarkEnd w:id="4"/>
      <w:r>
        <w:rPr>
          <w:rFonts w:hint="eastAsia" w:ascii="方正小标宋_GBK" w:hAnsi="方正小标宋_GBK" w:eastAsia="方正小标宋_GBK" w:cs="方正小标宋_GBK"/>
          <w:kern w:val="0"/>
          <w:sz w:val="44"/>
          <w:szCs w:val="44"/>
        </w:rPr>
        <w:t>保留的权责清单</w:t>
      </w:r>
    </w:p>
    <w:tbl>
      <w:tblPr>
        <w:tblStyle w:val="8"/>
        <w:tblW w:w="15887" w:type="dxa"/>
        <w:jc w:val="center"/>
        <w:tblLayout w:type="fixed"/>
        <w:tblCellMar>
          <w:top w:w="0" w:type="dxa"/>
          <w:left w:w="0" w:type="dxa"/>
          <w:bottom w:w="0" w:type="dxa"/>
          <w:right w:w="0" w:type="dxa"/>
        </w:tblCellMar>
      </w:tblPr>
      <w:tblGrid>
        <w:gridCol w:w="722"/>
        <w:gridCol w:w="1348"/>
        <w:gridCol w:w="3811"/>
        <w:gridCol w:w="950"/>
        <w:gridCol w:w="2925"/>
        <w:gridCol w:w="3300"/>
        <w:gridCol w:w="1100"/>
        <w:gridCol w:w="1731"/>
      </w:tblGrid>
      <w:tr w14:paraId="030B7B2D">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49898E">
            <w:pPr>
              <w:widowControl/>
              <w:jc w:val="center"/>
              <w:textAlignment w:val="center"/>
              <w:rPr>
                <w:rFonts w:ascii="黑体" w:hAnsi="黑体" w:eastAsia="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F710BB">
            <w:pPr>
              <w:widowControl/>
              <w:jc w:val="center"/>
              <w:textAlignment w:val="center"/>
              <w:rPr>
                <w:rFonts w:ascii="黑体" w:hAnsi="黑体" w:eastAsia="黑体"/>
                <w:sz w:val="24"/>
                <w:szCs w:val="24"/>
              </w:rPr>
            </w:pPr>
            <w:r>
              <w:rPr>
                <w:rFonts w:hint="eastAsia" w:ascii="黑体" w:hAnsi="黑体" w:eastAsia="黑体" w:cs="黑体"/>
                <w:kern w:val="0"/>
                <w:sz w:val="24"/>
                <w:szCs w:val="24"/>
              </w:rPr>
              <w:t>项目名称</w:t>
            </w:r>
          </w:p>
        </w:tc>
        <w:tc>
          <w:tcPr>
            <w:tcW w:w="381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9C90FA5">
            <w:pPr>
              <w:widowControl/>
              <w:jc w:val="center"/>
              <w:textAlignment w:val="center"/>
              <w:rPr>
                <w:rFonts w:ascii="黑体" w:hAnsi="黑体" w:eastAsia="黑体"/>
                <w:sz w:val="24"/>
                <w:szCs w:val="24"/>
              </w:rPr>
            </w:pPr>
            <w:r>
              <w:rPr>
                <w:rFonts w:hint="eastAsia" w:ascii="黑体" w:hAnsi="黑体" w:eastAsia="黑体" w:cs="黑体"/>
                <w:kern w:val="0"/>
                <w:sz w:val="24"/>
                <w:szCs w:val="24"/>
              </w:rPr>
              <w:t>实施依据</w:t>
            </w:r>
          </w:p>
        </w:tc>
        <w:tc>
          <w:tcPr>
            <w:tcW w:w="9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0E5E38B">
            <w:pPr>
              <w:widowControl/>
              <w:jc w:val="center"/>
              <w:textAlignment w:val="center"/>
              <w:rPr>
                <w:rFonts w:ascii="黑体" w:hAnsi="黑体" w:eastAsia="黑体"/>
                <w:sz w:val="24"/>
                <w:szCs w:val="24"/>
              </w:rPr>
            </w:pPr>
            <w:r>
              <w:rPr>
                <w:rFonts w:hint="eastAsia" w:ascii="黑体" w:hAnsi="黑体" w:eastAsia="黑体" w:cs="黑体"/>
                <w:kern w:val="0"/>
                <w:sz w:val="24"/>
                <w:szCs w:val="24"/>
              </w:rPr>
              <w:t>职权类别</w:t>
            </w:r>
          </w:p>
        </w:tc>
        <w:tc>
          <w:tcPr>
            <w:tcW w:w="29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724545D">
            <w:pPr>
              <w:widowControl/>
              <w:jc w:val="center"/>
              <w:textAlignment w:val="center"/>
              <w:rPr>
                <w:rFonts w:ascii="黑体" w:hAnsi="黑体" w:eastAsia="黑体"/>
                <w:sz w:val="24"/>
                <w:szCs w:val="24"/>
              </w:rPr>
            </w:pPr>
            <w:r>
              <w:rPr>
                <w:rFonts w:hint="eastAsia" w:ascii="黑体" w:hAnsi="黑体" w:eastAsia="黑体" w:cs="黑体"/>
                <w:kern w:val="0"/>
                <w:sz w:val="24"/>
                <w:szCs w:val="24"/>
              </w:rPr>
              <w:t>办理环节</w:t>
            </w:r>
          </w:p>
        </w:tc>
        <w:tc>
          <w:tcPr>
            <w:tcW w:w="33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31D3519">
            <w:pPr>
              <w:widowControl/>
              <w:jc w:val="center"/>
              <w:textAlignment w:val="center"/>
              <w:rPr>
                <w:rFonts w:ascii="黑体" w:hAnsi="黑体" w:eastAsia="黑体"/>
                <w:sz w:val="24"/>
                <w:szCs w:val="24"/>
              </w:rPr>
            </w:pPr>
            <w:r>
              <w:rPr>
                <w:rFonts w:hint="eastAsia" w:ascii="黑体" w:hAnsi="黑体" w:eastAsia="黑体" w:cs="黑体"/>
                <w:kern w:val="0"/>
                <w:sz w:val="24"/>
                <w:szCs w:val="24"/>
              </w:rPr>
              <w:t>责任事项</w:t>
            </w:r>
          </w:p>
        </w:tc>
        <w:tc>
          <w:tcPr>
            <w:tcW w:w="1100" w:type="dxa"/>
            <w:tcBorders>
              <w:top w:val="single" w:color="000000" w:sz="4" w:space="0"/>
              <w:left w:val="single" w:color="000000" w:sz="4" w:space="0"/>
              <w:bottom w:val="single" w:color="auto" w:sz="4" w:space="0"/>
              <w:right w:val="single" w:color="000000" w:sz="4" w:space="0"/>
            </w:tcBorders>
          </w:tcPr>
          <w:p w14:paraId="2896C045">
            <w:pPr>
              <w:widowControl/>
              <w:spacing w:line="480" w:lineRule="auto"/>
              <w:jc w:val="center"/>
              <w:textAlignment w:val="center"/>
              <w:rPr>
                <w:rFonts w:ascii="黑体" w:hAnsi="黑体" w:eastAsia="黑体"/>
                <w:kern w:val="0"/>
                <w:sz w:val="24"/>
                <w:szCs w:val="24"/>
              </w:rPr>
            </w:pPr>
            <w:r>
              <w:rPr>
                <w:rFonts w:hint="eastAsia" w:ascii="黑体" w:hAnsi="黑体" w:eastAsia="黑体" w:cs="黑体"/>
                <w:kern w:val="0"/>
                <w:sz w:val="24"/>
                <w:szCs w:val="24"/>
              </w:rPr>
              <w:t>追责情形</w:t>
            </w:r>
          </w:p>
        </w:tc>
        <w:tc>
          <w:tcPr>
            <w:tcW w:w="17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85DF424">
            <w:pPr>
              <w:widowControl/>
              <w:jc w:val="center"/>
              <w:textAlignment w:val="center"/>
              <w:rPr>
                <w:rFonts w:ascii="黑体" w:hAnsi="黑体" w:eastAsia="黑体"/>
                <w:sz w:val="24"/>
                <w:szCs w:val="24"/>
              </w:rPr>
            </w:pPr>
            <w:r>
              <w:rPr>
                <w:rFonts w:hint="eastAsia" w:ascii="黑体" w:hAnsi="黑体" w:eastAsia="黑体" w:cs="黑体"/>
                <w:kern w:val="0"/>
                <w:sz w:val="24"/>
                <w:szCs w:val="24"/>
              </w:rPr>
              <w:t>责任科室</w:t>
            </w:r>
          </w:p>
        </w:tc>
      </w:tr>
      <w:tr w14:paraId="7691790E">
        <w:tblPrEx>
          <w:tblCellMar>
            <w:top w:w="0" w:type="dxa"/>
            <w:left w:w="0" w:type="dxa"/>
            <w:bottom w:w="0" w:type="dxa"/>
            <w:right w:w="0" w:type="dxa"/>
          </w:tblCellMar>
        </w:tblPrEx>
        <w:trPr>
          <w:trHeight w:val="4638" w:hRule="atLeast"/>
          <w:jc w:val="center"/>
        </w:trPr>
        <w:tc>
          <w:tcPr>
            <w:tcW w:w="72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30B4019">
            <w:pPr>
              <w:jc w:val="center"/>
              <w:rPr>
                <w:rFonts w:ascii="仿宋_GB2312" w:hAnsi="仿宋_GB2312" w:eastAsia="仿宋_GB2312" w:cs="仿宋_GB2312"/>
                <w:sz w:val="24"/>
                <w:szCs w:val="24"/>
                <w:shd w:val="clear" w:color="070000" w:fill="FFFFFF"/>
              </w:rPr>
            </w:pPr>
            <w:r>
              <w:rPr>
                <w:rFonts w:ascii="仿宋_GB2312" w:hAnsi="仿宋_GB2312" w:eastAsia="仿宋_GB2312" w:cs="仿宋_GB2312"/>
                <w:sz w:val="24"/>
                <w:szCs w:val="24"/>
                <w:shd w:val="clear" w:color="070000" w:fill="FFFFFF"/>
              </w:rPr>
              <w:t>1</w:t>
            </w:r>
          </w:p>
        </w:tc>
        <w:tc>
          <w:tcPr>
            <w:tcW w:w="134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020A446">
            <w:pPr>
              <w:jc w:val="left"/>
              <w:rPr>
                <w:rFonts w:ascii="仿宋_GB2312" w:hAnsi="仿宋_GB2312" w:eastAsia="仿宋_GB2312"/>
                <w:sz w:val="24"/>
                <w:szCs w:val="24"/>
                <w:shd w:val="clear" w:color="070000" w:fill="FFFFFF"/>
              </w:rPr>
            </w:pPr>
            <w:r>
              <w:rPr>
                <w:rFonts w:hint="eastAsia" w:ascii="仿宋_GB2312" w:hAnsi="宋体" w:eastAsia="仿宋_GB2312" w:cs="仿宋_GB2312"/>
                <w:color w:val="000000"/>
                <w:kern w:val="0"/>
                <w:sz w:val="28"/>
                <w:szCs w:val="28"/>
              </w:rPr>
              <w:t>人民防空警报设施拆除审批</w:t>
            </w:r>
          </w:p>
        </w:tc>
        <w:tc>
          <w:tcPr>
            <w:tcW w:w="3811"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640A364B">
            <w:pPr>
              <w:rPr>
                <w:rFonts w:ascii="仿宋_GB2312" w:hAnsi="仿宋_GB2312" w:eastAsia="仿宋_GB2312"/>
                <w:sz w:val="24"/>
                <w:szCs w:val="24"/>
                <w:shd w:val="clear" w:color="070000" w:fill="FFFFFF"/>
              </w:rPr>
            </w:pPr>
            <w:r>
              <w:rPr>
                <w:rFonts w:hint="eastAsia" w:ascii="仿宋" w:hAnsi="仿宋" w:eastAsia="仿宋" w:cs="仿宋"/>
                <w:color w:val="000000"/>
                <w:kern w:val="0"/>
                <w:sz w:val="22"/>
                <w:szCs w:val="22"/>
              </w:rPr>
              <w:t>《中华人民共和国防空法》第四章第三十五条</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人民防空通信、警报设施必须保持良好使用状态。设置在有关单位的人民防空警报设施，由其所在单位维护管理，不得擅自拆除。</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《河南省实施</w:t>
            </w:r>
            <w:r>
              <w:rPr>
                <w:rFonts w:ascii="仿宋" w:hAnsi="仿宋" w:eastAsia="仿宋" w:cs="仿宋"/>
                <w:color w:val="000000"/>
                <w:kern w:val="0"/>
                <w:sz w:val="22"/>
                <w:szCs w:val="22"/>
              </w:rPr>
              <w:t>&lt;</w:t>
            </w:r>
            <w:r>
              <w:rPr>
                <w:rFonts w:hint="eastAsia" w:ascii="仿宋" w:hAnsi="仿宋" w:eastAsia="仿宋" w:cs="仿宋"/>
                <w:color w:val="000000"/>
                <w:kern w:val="0"/>
                <w:sz w:val="22"/>
                <w:szCs w:val="22"/>
              </w:rPr>
              <w:t>中华人民共和国人民防空法</w:t>
            </w:r>
            <w:r>
              <w:rPr>
                <w:rFonts w:ascii="仿宋" w:hAnsi="仿宋" w:eastAsia="仿宋" w:cs="仿宋"/>
                <w:color w:val="000000"/>
                <w:kern w:val="0"/>
                <w:sz w:val="22"/>
                <w:szCs w:val="22"/>
              </w:rPr>
              <w:t>&gt;</w:t>
            </w:r>
            <w:r>
              <w:rPr>
                <w:rFonts w:hint="eastAsia" w:ascii="仿宋" w:hAnsi="仿宋" w:eastAsia="仿宋" w:cs="仿宋"/>
                <w:color w:val="000000"/>
                <w:kern w:val="0"/>
                <w:sz w:val="22"/>
                <w:szCs w:val="22"/>
              </w:rPr>
              <w:t>办法》第二十一条：任何单位或个人不得擅自拆除和移动人民防空通信、警报设施。确需拆除、迁移的，必须报经当地人民防空主管部门和无线电管理机构批准，并按照人民防空主管部门的规划要求，由拆除者易地建设安装或补偿另行建设安装所需的费用。</w:t>
            </w:r>
          </w:p>
        </w:tc>
        <w:tc>
          <w:tcPr>
            <w:tcW w:w="9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495C33">
            <w:pPr>
              <w:jc w:val="center"/>
              <w:rPr>
                <w:rFonts w:ascii="仿宋_GB2312" w:hAnsi="仿宋_GB2312" w:eastAsia="仿宋_GB2312"/>
                <w:sz w:val="24"/>
                <w:szCs w:val="24"/>
                <w:shd w:val="clear" w:color="070000" w:fill="FFFFFF"/>
              </w:rPr>
            </w:pPr>
            <w:r>
              <w:rPr>
                <w:rFonts w:hint="eastAsia" w:ascii="仿宋" w:hAnsi="仿宋" w:eastAsia="仿宋" w:cs="仿宋"/>
                <w:color w:val="000000"/>
                <w:kern w:val="0"/>
                <w:sz w:val="22"/>
                <w:szCs w:val="22"/>
              </w:rPr>
              <w:t>行政许可</w:t>
            </w:r>
          </w:p>
        </w:tc>
        <w:tc>
          <w:tcPr>
            <w:tcW w:w="29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1AF09BC">
            <w:pPr>
              <w:pStyle w:val="17"/>
              <w:widowControl/>
              <w:spacing w:beforeAutospacing="0" w:afterAutospacing="0"/>
              <w:jc w:val="center"/>
              <w:rPr>
                <w:rFonts w:ascii="仿宋_GB2312" w:hAnsi="仿宋_GB2312" w:eastAsia="仿宋_GB2312" w:cs="Times New Roman"/>
              </w:rPr>
            </w:pPr>
          </w:p>
          <w:p w14:paraId="28006EEE">
            <w:pPr>
              <w:jc w:val="center"/>
            </w:pPr>
            <w:bookmarkStart w:id="0" w:name="OLE_LINK6"/>
            <w:r>
              <w:rPr>
                <w:rFonts w:ascii="宋体" w:hAnsi="宋体" w:cs="宋体"/>
                <w:color w:val="000000"/>
                <w:sz w:val="18"/>
                <w:szCs w:val="18"/>
              </w:rPr>
              <w:t>1.</w:t>
            </w:r>
            <w:r>
              <w:rPr>
                <w:rFonts w:hint="eastAsia" w:ascii="宋体" w:hAnsi="宋体" w:cs="宋体"/>
                <w:color w:val="000000"/>
                <w:sz w:val="18"/>
                <w:szCs w:val="18"/>
              </w:rPr>
              <w:t>受理</w:t>
            </w:r>
            <w:r>
              <w:rPr>
                <w:rFonts w:ascii="宋体" w:hAnsi="宋体" w:cs="宋体"/>
                <w:color w:val="000000"/>
                <w:sz w:val="18"/>
                <w:szCs w:val="18"/>
              </w:rPr>
              <w:t>,2.</w:t>
            </w:r>
            <w:r>
              <w:rPr>
                <w:rFonts w:hint="eastAsia" w:ascii="宋体" w:hAnsi="宋体" w:cs="宋体"/>
                <w:color w:val="000000"/>
                <w:sz w:val="18"/>
                <w:szCs w:val="18"/>
              </w:rPr>
              <w:t>审核，</w:t>
            </w:r>
            <w:r>
              <w:rPr>
                <w:rFonts w:ascii="宋体" w:hAnsi="宋体" w:cs="宋体"/>
                <w:color w:val="000000"/>
                <w:sz w:val="18"/>
                <w:szCs w:val="18"/>
              </w:rPr>
              <w:t>3.</w:t>
            </w:r>
            <w:r>
              <w:rPr>
                <w:rFonts w:hint="eastAsia" w:ascii="宋体" w:hAnsi="宋体" w:cs="宋体"/>
                <w:color w:val="000000"/>
                <w:sz w:val="18"/>
                <w:szCs w:val="18"/>
              </w:rPr>
              <w:t>决定，</w:t>
            </w:r>
            <w:r>
              <w:rPr>
                <w:rFonts w:ascii="宋体" w:hAnsi="宋体" w:cs="宋体"/>
                <w:color w:val="000000"/>
                <w:sz w:val="18"/>
                <w:szCs w:val="18"/>
              </w:rPr>
              <w:t>4.</w:t>
            </w:r>
            <w:r>
              <w:rPr>
                <w:rFonts w:hint="eastAsia" w:ascii="宋体" w:hAnsi="宋体" w:cs="宋体"/>
                <w:color w:val="000000"/>
                <w:sz w:val="18"/>
                <w:szCs w:val="18"/>
              </w:rPr>
              <w:t>送达，</w:t>
            </w:r>
            <w:r>
              <w:rPr>
                <w:rFonts w:ascii="宋体" w:hAnsi="宋体" w:cs="宋体"/>
                <w:color w:val="000000"/>
                <w:sz w:val="18"/>
                <w:szCs w:val="18"/>
              </w:rPr>
              <w:t>5.</w:t>
            </w:r>
            <w:r>
              <w:rPr>
                <w:rFonts w:hint="eastAsia" w:ascii="宋体" w:hAnsi="宋体" w:cs="宋体"/>
                <w:color w:val="000000"/>
                <w:sz w:val="18"/>
                <w:szCs w:val="18"/>
              </w:rPr>
              <w:t>事后监管</w:t>
            </w:r>
            <w:bookmarkEnd w:id="0"/>
          </w:p>
        </w:tc>
        <w:tc>
          <w:tcPr>
            <w:tcW w:w="33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B9F496">
            <w:pPr>
              <w:widowControl/>
              <w:jc w:val="left"/>
            </w:pPr>
            <w:r>
              <w:rPr>
                <w:rFonts w:ascii="宋体" w:hAnsi="宋体" w:cs="宋体"/>
                <w:color w:val="000000"/>
                <w:sz w:val="22"/>
                <w:szCs w:val="22"/>
              </w:rPr>
              <w:t>1.</w:t>
            </w:r>
            <w:r>
              <w:rPr>
                <w:rFonts w:hint="eastAsia" w:ascii="宋体" w:hAnsi="宋体" w:cs="宋体"/>
                <w:color w:val="000000"/>
                <w:sz w:val="22"/>
                <w:szCs w:val="22"/>
              </w:rPr>
              <w:t>受理</w:t>
            </w:r>
            <w:r>
              <w:rPr>
                <w:rFonts w:ascii="宋体" w:hAnsi="宋体" w:cs="宋体"/>
                <w:color w:val="000000"/>
                <w:sz w:val="22"/>
                <w:szCs w:val="22"/>
              </w:rPr>
              <w:t>;</w:t>
            </w:r>
            <w:r>
              <w:rPr>
                <w:rFonts w:hint="eastAsia" w:ascii="仿宋_GB2312" w:hAnsi="仿宋_GB2312" w:eastAsia="仿宋_GB2312" w:cs="仿宋_GB2312"/>
                <w:color w:val="000000"/>
                <w:kern w:val="0"/>
              </w:rPr>
              <w:t>工作人员通过窗口或河南政务服务网接收申报材</w:t>
            </w:r>
            <w:r>
              <w:rPr>
                <w:rFonts w:ascii="仿宋_GB2312" w:hAnsi="仿宋_GB2312" w:eastAsia="仿宋_GB2312" w:cs="仿宋_GB2312"/>
                <w:color w:val="000000"/>
                <w:kern w:val="0"/>
              </w:rPr>
              <w:t xml:space="preserve"> </w:t>
            </w:r>
          </w:p>
          <w:p w14:paraId="6750E05D">
            <w:pPr>
              <w:widowControl/>
              <w:jc w:val="left"/>
            </w:pPr>
            <w:r>
              <w:rPr>
                <w:rFonts w:hint="eastAsia" w:ascii="仿宋_GB2312" w:hAnsi="仿宋_GB2312" w:eastAsia="仿宋_GB2312" w:cs="仿宋_GB2312"/>
                <w:color w:val="000000"/>
                <w:kern w:val="0"/>
              </w:rPr>
              <w:t>料，所交材料不齐全或不符合法定要求的，签发《一</w:t>
            </w:r>
            <w:r>
              <w:rPr>
                <w:rFonts w:ascii="仿宋_GB2312" w:hAnsi="仿宋_GB2312" w:eastAsia="仿宋_GB2312" w:cs="仿宋_GB2312"/>
                <w:color w:val="000000"/>
                <w:kern w:val="0"/>
              </w:rPr>
              <w:t xml:space="preserve"> </w:t>
            </w:r>
          </w:p>
          <w:p w14:paraId="3BB627BA">
            <w:pPr>
              <w:widowControl/>
              <w:jc w:val="left"/>
            </w:pPr>
            <w:r>
              <w:rPr>
                <w:rFonts w:hint="eastAsia" w:ascii="仿宋_GB2312" w:hAnsi="仿宋_GB2312" w:eastAsia="仿宋_GB2312" w:cs="仿宋_GB2312"/>
                <w:color w:val="000000"/>
                <w:kern w:val="0"/>
              </w:rPr>
              <w:t>次性告知书》。如所交材料存在可以当场更正的错</w:t>
            </w:r>
            <w:r>
              <w:rPr>
                <w:rFonts w:ascii="仿宋_GB2312" w:hAnsi="仿宋_GB2312" w:eastAsia="仿宋_GB2312" w:cs="仿宋_GB2312"/>
                <w:color w:val="000000"/>
                <w:kern w:val="0"/>
              </w:rPr>
              <w:t xml:space="preserve"> </w:t>
            </w:r>
          </w:p>
          <w:p w14:paraId="667E43EC">
            <w:pPr>
              <w:widowControl/>
              <w:jc w:val="left"/>
            </w:pPr>
            <w:r>
              <w:rPr>
                <w:rFonts w:hint="eastAsia" w:ascii="仿宋_GB2312" w:hAnsi="仿宋_GB2312" w:eastAsia="仿宋_GB2312" w:cs="仿宋_GB2312"/>
                <w:color w:val="000000"/>
                <w:kern w:val="0"/>
              </w:rPr>
              <w:t>误，申请人可当场更正。如所交材料齐全，应当场</w:t>
            </w:r>
            <w:r>
              <w:rPr>
                <w:rFonts w:ascii="仿宋_GB2312" w:hAnsi="仿宋_GB2312" w:eastAsia="仿宋_GB2312" w:cs="仿宋_GB2312"/>
                <w:color w:val="000000"/>
                <w:kern w:val="0"/>
              </w:rPr>
              <w:t xml:space="preserve"> </w:t>
            </w:r>
          </w:p>
          <w:p w14:paraId="04D6B14F">
            <w:pPr>
              <w:widowControl/>
              <w:jc w:val="left"/>
            </w:pPr>
            <w:r>
              <w:rPr>
                <w:rFonts w:hint="eastAsia" w:ascii="仿宋_GB2312" w:hAnsi="仿宋_GB2312" w:eastAsia="仿宋_GB2312" w:cs="仿宋_GB2312"/>
                <w:color w:val="000000"/>
                <w:kern w:val="0"/>
              </w:rPr>
              <w:t>作出是否受理决定，并签发《受理通知书》或《不</w:t>
            </w:r>
            <w:r>
              <w:rPr>
                <w:rFonts w:ascii="仿宋_GB2312" w:hAnsi="仿宋_GB2312" w:eastAsia="仿宋_GB2312" w:cs="仿宋_GB2312"/>
                <w:color w:val="000000"/>
                <w:kern w:val="0"/>
              </w:rPr>
              <w:t xml:space="preserve"> </w:t>
            </w:r>
          </w:p>
          <w:p w14:paraId="1ADAC470">
            <w:pPr>
              <w:widowControl/>
              <w:jc w:val="left"/>
            </w:pPr>
            <w:r>
              <w:rPr>
                <w:rFonts w:hint="eastAsia" w:ascii="仿宋_GB2312" w:hAnsi="仿宋_GB2312" w:eastAsia="仿宋_GB2312" w:cs="仿宋_GB2312"/>
                <w:color w:val="000000"/>
                <w:kern w:val="0"/>
              </w:rPr>
              <w:t>予受理通知书》。</w:t>
            </w: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审核；在受理申报材料后，由办理科室对内容进行审查。</w:t>
            </w:r>
            <w:r>
              <w:rPr>
                <w:rFonts w:ascii="仿宋_GB2312" w:hAnsi="仿宋_GB2312" w:eastAsia="仿宋_GB2312" w:cs="仿宋_GB2312"/>
                <w:color w:val="000000"/>
                <w:kern w:val="0"/>
              </w:rPr>
              <w:t xml:space="preserve"> </w:t>
            </w:r>
          </w:p>
          <w:p w14:paraId="136591A5">
            <w:pPr>
              <w:widowControl/>
              <w:jc w:val="left"/>
            </w:pPr>
            <w:r>
              <w:rPr>
                <w:rFonts w:hint="eastAsia" w:ascii="仿宋_GB2312" w:hAnsi="仿宋_GB2312" w:eastAsia="仿宋_GB2312" w:cs="仿宋_GB2312"/>
                <w:color w:val="000000"/>
                <w:kern w:val="0"/>
              </w:rPr>
              <w:t>如有必要，启动特殊环节进行辅助审查。</w:t>
            </w: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决定；在办理科室审查完成后，实施部门应在承诺时限内</w:t>
            </w:r>
            <w:r>
              <w:rPr>
                <w:rFonts w:ascii="仿宋_GB2312" w:hAnsi="仿宋_GB2312" w:eastAsia="仿宋_GB2312" w:cs="仿宋_GB2312"/>
                <w:color w:val="000000"/>
                <w:kern w:val="0"/>
              </w:rPr>
              <w:t xml:space="preserve"> </w:t>
            </w:r>
          </w:p>
          <w:p w14:paraId="7753E33E">
            <w:pPr>
              <w:widowControl/>
              <w:jc w:val="left"/>
            </w:pPr>
            <w:r>
              <w:rPr>
                <w:rFonts w:hint="eastAsia" w:ascii="仿宋_GB2312" w:hAnsi="仿宋_GB2312" w:eastAsia="仿宋_GB2312" w:cs="仿宋_GB2312"/>
                <w:color w:val="000000"/>
                <w:kern w:val="0"/>
              </w:rPr>
              <w:t>作出是否同意申请事项的决定。作出准予审批（办</w:t>
            </w:r>
            <w:r>
              <w:rPr>
                <w:rFonts w:ascii="仿宋_GB2312" w:hAnsi="仿宋_GB2312" w:eastAsia="仿宋_GB2312" w:cs="仿宋_GB2312"/>
                <w:color w:val="000000"/>
                <w:kern w:val="0"/>
              </w:rPr>
              <w:t xml:space="preserve"> </w:t>
            </w:r>
          </w:p>
          <w:p w14:paraId="05D001E8">
            <w:pPr>
              <w:widowControl/>
              <w:jc w:val="left"/>
            </w:pPr>
            <w:r>
              <w:rPr>
                <w:rFonts w:hint="eastAsia" w:ascii="仿宋_GB2312" w:hAnsi="仿宋_GB2312" w:eastAsia="仿宋_GB2312" w:cs="仿宋_GB2312"/>
                <w:color w:val="000000"/>
                <w:kern w:val="0"/>
              </w:rPr>
              <w:t>理）决定的，签发审批办理结果；作出不予审批（办</w:t>
            </w:r>
            <w:r>
              <w:rPr>
                <w:rFonts w:ascii="仿宋_GB2312" w:hAnsi="仿宋_GB2312" w:eastAsia="仿宋_GB2312" w:cs="仿宋_GB2312"/>
                <w:color w:val="000000"/>
                <w:kern w:val="0"/>
              </w:rPr>
              <w:t xml:space="preserve"> </w:t>
            </w:r>
          </w:p>
          <w:p w14:paraId="395A0FAE">
            <w:pPr>
              <w:widowControl/>
              <w:jc w:val="left"/>
            </w:pPr>
            <w:r>
              <w:rPr>
                <w:rFonts w:hint="eastAsia" w:ascii="仿宋_GB2312" w:hAnsi="仿宋_GB2312" w:eastAsia="仿宋_GB2312" w:cs="仿宋_GB2312"/>
                <w:color w:val="000000"/>
                <w:kern w:val="0"/>
              </w:rPr>
              <w:t>理）决定的，签发《不予审批（办理）告知单》。</w:t>
            </w:r>
            <w:r>
              <w:rPr>
                <w:rFonts w:ascii="仿宋_GB2312" w:hAnsi="仿宋_GB2312" w:eastAsia="仿宋_GB2312" w:cs="仿宋_GB2312"/>
                <w:color w:val="000000"/>
                <w:kern w:val="0"/>
              </w:rPr>
              <w:t>4.</w:t>
            </w:r>
            <w:r>
              <w:rPr>
                <w:rFonts w:hint="eastAsia" w:ascii="仿宋_GB2312" w:hAnsi="仿宋_GB2312" w:eastAsia="仿宋_GB2312" w:cs="仿宋_GB2312"/>
                <w:color w:val="000000"/>
                <w:kern w:val="0"/>
              </w:rPr>
              <w:t>送达；</w:t>
            </w:r>
          </w:p>
          <w:p w14:paraId="5522E88B">
            <w:pPr>
              <w:widowControl/>
              <w:jc w:val="left"/>
            </w:pPr>
            <w:r>
              <w:rPr>
                <w:rFonts w:hint="eastAsia" w:ascii="仿宋_GB2312" w:hAnsi="仿宋_GB2312" w:eastAsia="仿宋_GB2312" w:cs="仿宋_GB2312"/>
                <w:color w:val="000000"/>
                <w:kern w:val="0"/>
              </w:rPr>
              <w:t>实施机关作出决定当日应通知申请人，及时向申人颁发、送达审批服务事项办理结果。</w:t>
            </w:r>
            <w:r>
              <w:rPr>
                <w:rFonts w:ascii="仿宋_GB2312" w:hAnsi="仿宋_GB2312" w:eastAsia="仿宋_GB2312" w:cs="仿宋_GB2312"/>
                <w:color w:val="000000"/>
                <w:kern w:val="0"/>
              </w:rPr>
              <w:t>5.</w:t>
            </w:r>
            <w:r>
              <w:rPr>
                <w:rFonts w:hint="eastAsia" w:ascii="仿宋_GB2312" w:hAnsi="仿宋_GB2312" w:eastAsia="仿宋_GB2312" w:cs="仿宋_GB2312"/>
                <w:color w:val="000000"/>
                <w:kern w:val="0"/>
              </w:rPr>
              <w:t>事后</w:t>
            </w:r>
            <w:r>
              <w:rPr>
                <w:rFonts w:ascii="仿宋_GB2312" w:hAnsi="仿宋_GB2312" w:eastAsia="仿宋_GB2312" w:cs="仿宋_GB2312"/>
                <w:color w:val="000000"/>
                <w:kern w:val="0"/>
              </w:rPr>
              <w:t xml:space="preserve"> </w:t>
            </w:r>
          </w:p>
          <w:p w14:paraId="675E39B9">
            <w:pPr>
              <w:widowControl/>
              <w:jc w:val="left"/>
            </w:pPr>
            <w:r>
              <w:rPr>
                <w:rFonts w:hint="eastAsia" w:ascii="仿宋_GB2312" w:hAnsi="仿宋_GB2312" w:eastAsia="仿宋_GB2312" w:cs="仿宋_GB2312"/>
                <w:color w:val="000000"/>
                <w:kern w:val="0"/>
              </w:rPr>
              <w:t>监管；对拆除、迁移防空警报设施工作进行监督检查。其他法律法规规章文件规定应履行的责任。</w:t>
            </w:r>
          </w:p>
          <w:p w14:paraId="4EB3B933">
            <w:pPr>
              <w:widowControl/>
              <w:jc w:val="left"/>
            </w:pPr>
            <w:r>
              <w:rPr>
                <w:rFonts w:hint="eastAsia" w:ascii="仿宋_GB2312" w:hAnsi="仿宋_GB2312" w:eastAsia="仿宋_GB2312" w:cs="仿宋_GB2312"/>
                <w:color w:val="000000"/>
                <w:kern w:val="0"/>
              </w:rPr>
              <w:t>人颁发、送达审批服务事项办理结果。</w:t>
            </w:r>
            <w:r>
              <w:rPr>
                <w:rFonts w:ascii="仿宋_GB2312" w:hAnsi="仿宋_GB2312" w:eastAsia="仿宋_GB2312" w:cs="仿宋_GB2312"/>
                <w:color w:val="000000"/>
                <w:kern w:val="0"/>
              </w:rPr>
              <w:t>5.</w:t>
            </w:r>
            <w:r>
              <w:rPr>
                <w:rFonts w:hint="eastAsia" w:ascii="仿宋_GB2312" w:hAnsi="仿宋_GB2312" w:eastAsia="仿宋_GB2312" w:cs="仿宋_GB2312"/>
                <w:color w:val="000000"/>
                <w:kern w:val="0"/>
              </w:rPr>
              <w:t>事后</w:t>
            </w:r>
            <w:r>
              <w:rPr>
                <w:rFonts w:ascii="仿宋_GB2312" w:hAnsi="仿宋_GB2312" w:eastAsia="仿宋_GB2312" w:cs="仿宋_GB2312"/>
                <w:color w:val="000000"/>
                <w:kern w:val="0"/>
              </w:rPr>
              <w:t xml:space="preserve"> </w:t>
            </w:r>
          </w:p>
          <w:p w14:paraId="308EE629">
            <w:pPr>
              <w:widowControl/>
              <w:jc w:val="left"/>
            </w:pPr>
            <w:r>
              <w:rPr>
                <w:rFonts w:hint="eastAsia" w:ascii="仿宋_GB2312" w:hAnsi="仿宋_GB2312" w:eastAsia="仿宋_GB2312" w:cs="仿宋_GB2312"/>
                <w:color w:val="000000"/>
                <w:kern w:val="0"/>
              </w:rPr>
              <w:t>监管；对拆除、迁移防空警报设施工作进行监督检查。其他法律法规规章文件规定应履行的责任。</w:t>
            </w:r>
          </w:p>
          <w:p w14:paraId="1F04E2A6">
            <w:pPr>
              <w:pStyle w:val="17"/>
              <w:widowControl/>
              <w:spacing w:beforeAutospacing="0" w:afterAutospacing="0" w:line="300" w:lineRule="exact"/>
              <w:jc w:val="center"/>
              <w:rPr>
                <w:rFonts w:ascii="仿宋_GB2312" w:hAnsi="仿宋_GB2312" w:eastAsia="仿宋_GB2312" w:cs="Times New Roman"/>
                <w:shd w:val="clear" w:color="070000" w:fill="FFFFFF"/>
              </w:rPr>
            </w:pPr>
          </w:p>
        </w:tc>
        <w:tc>
          <w:tcPr>
            <w:tcW w:w="1100" w:type="dxa"/>
            <w:tcBorders>
              <w:top w:val="single" w:color="auto" w:sz="4" w:space="0"/>
              <w:left w:val="single" w:color="auto" w:sz="4" w:space="0"/>
              <w:bottom w:val="single" w:color="auto" w:sz="4" w:space="0"/>
              <w:right w:val="single" w:color="auto" w:sz="4" w:space="0"/>
            </w:tcBorders>
          </w:tcPr>
          <w:p w14:paraId="51C8A232">
            <w:pPr>
              <w:rPr>
                <w:rFonts w:ascii="仿宋_GB2312" w:hAnsi="仿宋_GB2312" w:eastAsia="仿宋_GB2312"/>
                <w:sz w:val="24"/>
                <w:szCs w:val="24"/>
                <w:shd w:val="clear" w:color="070000" w:fill="FFFFFF"/>
              </w:rPr>
            </w:pP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649750">
            <w:pPr>
              <w:jc w:val="center"/>
              <w:rPr>
                <w:rFonts w:hint="eastAsia" w:cs="宋体"/>
                <w:sz w:val="28"/>
                <w:szCs w:val="28"/>
              </w:rPr>
            </w:pPr>
            <w:r>
              <w:rPr>
                <w:rFonts w:hint="eastAsia" w:cs="宋体"/>
                <w:sz w:val="28"/>
                <w:szCs w:val="28"/>
              </w:rPr>
              <w:t>人防中心</w:t>
            </w:r>
          </w:p>
          <w:p w14:paraId="144C6209">
            <w:pPr>
              <w:jc w:val="center"/>
            </w:pPr>
            <w:r>
              <w:rPr>
                <w:rFonts w:hint="eastAsia" w:cs="宋体"/>
                <w:sz w:val="28"/>
                <w:szCs w:val="28"/>
              </w:rPr>
              <w:t>指通股</w:t>
            </w:r>
          </w:p>
        </w:tc>
      </w:tr>
      <w:tr w14:paraId="1062D129">
        <w:tblPrEx>
          <w:tblCellMar>
            <w:top w:w="0" w:type="dxa"/>
            <w:left w:w="0" w:type="dxa"/>
            <w:bottom w:w="0" w:type="dxa"/>
            <w:right w:w="0" w:type="dxa"/>
          </w:tblCellMar>
        </w:tblPrEx>
        <w:trPr>
          <w:trHeight w:val="1239"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44905AE5">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服务电话</w:t>
            </w:r>
            <w:bookmarkStart w:id="1" w:name="OLE_LINK4"/>
            <w:r>
              <w:rPr>
                <w:rFonts w:hint="eastAsia" w:ascii="仿宋_GB2312" w:hAnsi="仿宋_GB2312" w:eastAsia="仿宋_GB2312" w:cs="仿宋_GB2312"/>
                <w:sz w:val="24"/>
                <w:szCs w:val="24"/>
                <w:shd w:val="clear" w:color="070000" w:fill="FFFFFF"/>
              </w:rPr>
              <w:t>：</w:t>
            </w:r>
            <w:r>
              <w:rPr>
                <w:rFonts w:ascii="仿宋_GB2312" w:hAnsi="仿宋_GB2312" w:eastAsia="仿宋_GB2312" w:cs="仿宋_GB2312"/>
                <w:sz w:val="24"/>
                <w:szCs w:val="24"/>
                <w:shd w:val="clear" w:color="070000" w:fill="FFFFFF"/>
              </w:rPr>
              <w:t xml:space="preserve"> 0377-66887352   </w:t>
            </w:r>
            <w:bookmarkEnd w:id="1"/>
            <w:r>
              <w:rPr>
                <w:rFonts w:ascii="仿宋_GB2312" w:hAnsi="仿宋_GB2312" w:eastAsia="仿宋_GB2312" w:cs="仿宋_GB2312"/>
                <w:sz w:val="24"/>
                <w:szCs w:val="24"/>
                <w:shd w:val="clear" w:color="070000" w:fill="FFFFFF"/>
              </w:rPr>
              <w:t xml:space="preserve">                     </w:t>
            </w:r>
            <w:r>
              <w:rPr>
                <w:rFonts w:hint="eastAsia" w:ascii="仿宋_GB2312" w:hAnsi="仿宋_GB2312" w:eastAsia="仿宋_GB2312" w:cs="仿宋_GB2312"/>
                <w:sz w:val="24"/>
                <w:szCs w:val="24"/>
                <w:shd w:val="clear" w:color="070000" w:fill="FFFFFF"/>
              </w:rPr>
              <w:t>投诉机构</w:t>
            </w:r>
            <w:r>
              <w:rPr>
                <w:rFonts w:ascii="仿宋_GB2312" w:hAnsi="仿宋_GB2312" w:eastAsia="仿宋_GB2312" w:cs="仿宋_GB2312"/>
                <w:sz w:val="24"/>
                <w:szCs w:val="24"/>
                <w:shd w:val="clear" w:color="070000" w:fill="FFFFFF"/>
              </w:rPr>
              <w:t xml:space="preserve">:  </w:t>
            </w:r>
            <w:r>
              <w:rPr>
                <w:rFonts w:hint="eastAsia" w:ascii="仿宋_GB2312" w:hAnsi="仿宋_GB2312" w:eastAsia="仿宋_GB2312" w:cs="仿宋_GB2312"/>
                <w:sz w:val="24"/>
                <w:szCs w:val="24"/>
                <w:shd w:val="clear" w:color="070000" w:fill="FFFFFF"/>
              </w:rPr>
              <w:t>南召县人防中心</w:t>
            </w:r>
            <w:r>
              <w:rPr>
                <w:rFonts w:ascii="仿宋_GB2312" w:hAnsi="仿宋_GB2312" w:eastAsia="仿宋_GB2312" w:cs="仿宋_GB2312"/>
                <w:sz w:val="24"/>
                <w:szCs w:val="24"/>
                <w:shd w:val="clear" w:color="070000" w:fill="FFFFFF"/>
              </w:rPr>
              <w:t xml:space="preserve">                           </w:t>
            </w:r>
            <w:r>
              <w:rPr>
                <w:rFonts w:hint="eastAsia" w:ascii="仿宋_GB2312" w:hAnsi="仿宋_GB2312" w:eastAsia="仿宋_GB2312" w:cs="仿宋_GB2312"/>
                <w:sz w:val="24"/>
                <w:szCs w:val="24"/>
                <w:shd w:val="clear" w:color="070000" w:fill="FFFFFF"/>
              </w:rPr>
              <w:t>投诉电话：</w:t>
            </w:r>
            <w:bookmarkStart w:id="2" w:name="OLE_LINK5"/>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bookmarkEnd w:id="2"/>
            <w:r>
              <w:rPr>
                <w:rFonts w:ascii="仿宋_GB2312" w:hAnsi="仿宋_GB2312" w:eastAsia="仿宋_GB2312" w:cs="仿宋_GB2312"/>
                <w:sz w:val="24"/>
                <w:szCs w:val="24"/>
                <w:shd w:val="clear" w:color="070000" w:fill="FFFFFF"/>
              </w:rPr>
              <w:t xml:space="preserve">   </w:t>
            </w:r>
          </w:p>
        </w:tc>
      </w:tr>
      <w:tr w14:paraId="389E50A2">
        <w:tblPrEx>
          <w:tblCellMar>
            <w:top w:w="0" w:type="dxa"/>
            <w:left w:w="0" w:type="dxa"/>
            <w:bottom w:w="0" w:type="dxa"/>
            <w:right w:w="0" w:type="dxa"/>
          </w:tblCellMar>
        </w:tblPrEx>
        <w:trPr>
          <w:trHeight w:val="2347"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139DC96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受理地点：南召县人民南路综合行政办公大楼东楼三楼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670DAD74">
        <w:tblPrEx>
          <w:tblCellMar>
            <w:top w:w="0" w:type="dxa"/>
            <w:left w:w="0" w:type="dxa"/>
            <w:bottom w:w="0" w:type="dxa"/>
            <w:right w:w="0" w:type="dxa"/>
          </w:tblCellMar>
        </w:tblPrEx>
        <w:trPr>
          <w:trHeight w:val="635" w:hRule="atLeast"/>
          <w:jc w:val="center"/>
        </w:trPr>
        <w:tc>
          <w:tcPr>
            <w:tcW w:w="7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FEB5B9">
            <w:pPr>
              <w:widowControl/>
              <w:jc w:val="center"/>
              <w:textAlignment w:val="center"/>
              <w:rPr>
                <w:rFonts w:ascii="黑体" w:hAnsi="黑体" w:eastAsia="黑体"/>
                <w:sz w:val="24"/>
                <w:szCs w:val="24"/>
              </w:rPr>
            </w:pPr>
            <w:r>
              <w:rPr>
                <w:rFonts w:hint="eastAsia" w:ascii="黑体" w:hAnsi="黑体" w:eastAsia="黑体" w:cs="黑体"/>
                <w:kern w:val="0"/>
                <w:sz w:val="24"/>
                <w:szCs w:val="24"/>
              </w:rPr>
              <w:t>序号</w:t>
            </w:r>
          </w:p>
        </w:tc>
        <w:tc>
          <w:tcPr>
            <w:tcW w:w="13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550DE9F">
            <w:pPr>
              <w:widowControl/>
              <w:jc w:val="center"/>
              <w:textAlignment w:val="center"/>
              <w:rPr>
                <w:rFonts w:ascii="黑体" w:hAnsi="黑体" w:eastAsia="黑体"/>
                <w:sz w:val="24"/>
                <w:szCs w:val="24"/>
              </w:rPr>
            </w:pPr>
            <w:r>
              <w:rPr>
                <w:rFonts w:hint="eastAsia" w:ascii="黑体" w:hAnsi="黑体" w:eastAsia="黑体" w:cs="黑体"/>
                <w:kern w:val="0"/>
                <w:sz w:val="24"/>
                <w:szCs w:val="24"/>
              </w:rPr>
              <w:t>项目名称</w:t>
            </w:r>
          </w:p>
        </w:tc>
        <w:tc>
          <w:tcPr>
            <w:tcW w:w="381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0B9D29D">
            <w:pPr>
              <w:widowControl/>
              <w:jc w:val="center"/>
              <w:textAlignment w:val="center"/>
              <w:rPr>
                <w:rFonts w:ascii="黑体" w:hAnsi="黑体" w:eastAsia="黑体"/>
                <w:sz w:val="24"/>
                <w:szCs w:val="24"/>
              </w:rPr>
            </w:pPr>
            <w:r>
              <w:rPr>
                <w:rFonts w:hint="eastAsia" w:ascii="黑体" w:hAnsi="黑体" w:eastAsia="黑体" w:cs="黑体"/>
                <w:kern w:val="0"/>
                <w:sz w:val="24"/>
                <w:szCs w:val="24"/>
              </w:rPr>
              <w:t>实施依据</w:t>
            </w:r>
          </w:p>
        </w:tc>
        <w:tc>
          <w:tcPr>
            <w:tcW w:w="9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6F0BEAF">
            <w:pPr>
              <w:widowControl/>
              <w:jc w:val="center"/>
              <w:textAlignment w:val="center"/>
              <w:rPr>
                <w:rFonts w:ascii="黑体" w:hAnsi="黑体" w:eastAsia="黑体"/>
                <w:sz w:val="24"/>
                <w:szCs w:val="24"/>
              </w:rPr>
            </w:pPr>
            <w:r>
              <w:rPr>
                <w:rFonts w:hint="eastAsia" w:ascii="黑体" w:hAnsi="黑体" w:eastAsia="黑体" w:cs="黑体"/>
                <w:kern w:val="0"/>
                <w:sz w:val="24"/>
                <w:szCs w:val="24"/>
              </w:rPr>
              <w:t>职权类别</w:t>
            </w:r>
          </w:p>
        </w:tc>
        <w:tc>
          <w:tcPr>
            <w:tcW w:w="29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275F46D">
            <w:pPr>
              <w:widowControl/>
              <w:jc w:val="center"/>
              <w:textAlignment w:val="center"/>
              <w:rPr>
                <w:rFonts w:ascii="黑体" w:hAnsi="黑体" w:eastAsia="黑体"/>
                <w:sz w:val="24"/>
                <w:szCs w:val="24"/>
              </w:rPr>
            </w:pPr>
            <w:r>
              <w:rPr>
                <w:rFonts w:hint="eastAsia" w:ascii="黑体" w:hAnsi="黑体" w:eastAsia="黑体" w:cs="黑体"/>
                <w:kern w:val="0"/>
                <w:sz w:val="24"/>
                <w:szCs w:val="24"/>
              </w:rPr>
              <w:t>办理环节</w:t>
            </w:r>
          </w:p>
        </w:tc>
        <w:tc>
          <w:tcPr>
            <w:tcW w:w="33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68D0D18">
            <w:pPr>
              <w:widowControl/>
              <w:jc w:val="center"/>
              <w:textAlignment w:val="center"/>
              <w:rPr>
                <w:rFonts w:ascii="黑体" w:hAnsi="黑体" w:eastAsia="黑体"/>
                <w:sz w:val="24"/>
                <w:szCs w:val="24"/>
              </w:rPr>
            </w:pPr>
            <w:r>
              <w:rPr>
                <w:rFonts w:hint="eastAsia" w:ascii="黑体" w:hAnsi="黑体" w:eastAsia="黑体" w:cs="黑体"/>
                <w:kern w:val="0"/>
                <w:sz w:val="24"/>
                <w:szCs w:val="24"/>
              </w:rPr>
              <w:t>责任事项</w:t>
            </w:r>
          </w:p>
        </w:tc>
        <w:tc>
          <w:tcPr>
            <w:tcW w:w="1100" w:type="dxa"/>
            <w:tcBorders>
              <w:top w:val="single" w:color="000000" w:sz="4" w:space="0"/>
              <w:left w:val="single" w:color="000000" w:sz="4" w:space="0"/>
              <w:bottom w:val="single" w:color="auto" w:sz="4" w:space="0"/>
              <w:right w:val="single" w:color="000000" w:sz="4" w:space="0"/>
            </w:tcBorders>
          </w:tcPr>
          <w:p w14:paraId="2CDB43D1">
            <w:pPr>
              <w:widowControl/>
              <w:spacing w:line="480" w:lineRule="auto"/>
              <w:jc w:val="center"/>
              <w:textAlignment w:val="center"/>
              <w:rPr>
                <w:rFonts w:ascii="黑体" w:hAnsi="黑体" w:eastAsia="黑体"/>
                <w:kern w:val="0"/>
                <w:sz w:val="24"/>
                <w:szCs w:val="24"/>
              </w:rPr>
            </w:pPr>
            <w:r>
              <w:rPr>
                <w:rFonts w:hint="eastAsia" w:ascii="黑体" w:hAnsi="黑体" w:eastAsia="黑体" w:cs="黑体"/>
                <w:kern w:val="0"/>
                <w:sz w:val="24"/>
                <w:szCs w:val="24"/>
              </w:rPr>
              <w:t>追责情形</w:t>
            </w:r>
          </w:p>
        </w:tc>
        <w:tc>
          <w:tcPr>
            <w:tcW w:w="173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9838856">
            <w:pPr>
              <w:widowControl/>
              <w:jc w:val="center"/>
              <w:textAlignment w:val="center"/>
              <w:rPr>
                <w:rFonts w:ascii="黑体" w:hAnsi="黑体" w:eastAsia="黑体"/>
                <w:sz w:val="24"/>
                <w:szCs w:val="24"/>
              </w:rPr>
            </w:pPr>
            <w:r>
              <w:rPr>
                <w:rFonts w:hint="eastAsia" w:ascii="黑体" w:hAnsi="黑体" w:eastAsia="黑体" w:cs="黑体"/>
                <w:kern w:val="0"/>
                <w:sz w:val="24"/>
                <w:szCs w:val="24"/>
              </w:rPr>
              <w:t>责任科室</w:t>
            </w:r>
          </w:p>
        </w:tc>
      </w:tr>
      <w:tr w14:paraId="5995592E">
        <w:tblPrEx>
          <w:tblCellMar>
            <w:top w:w="0" w:type="dxa"/>
            <w:left w:w="0" w:type="dxa"/>
            <w:bottom w:w="0" w:type="dxa"/>
            <w:right w:w="0" w:type="dxa"/>
          </w:tblCellMar>
        </w:tblPrEx>
        <w:trPr>
          <w:trHeight w:val="4005" w:hRule="atLeast"/>
          <w:jc w:val="center"/>
        </w:trPr>
        <w:tc>
          <w:tcPr>
            <w:tcW w:w="72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C18B2D5">
            <w:pPr>
              <w:jc w:val="center"/>
              <w:rPr>
                <w:rFonts w:ascii="仿宋_GB2312" w:hAnsi="仿宋_GB2312" w:eastAsia="仿宋_GB2312" w:cs="仿宋_GB2312"/>
                <w:sz w:val="24"/>
                <w:szCs w:val="24"/>
                <w:shd w:val="clear" w:color="070000" w:fill="FFFFFF"/>
              </w:rPr>
            </w:pPr>
            <w:bookmarkStart w:id="3" w:name="OLE_LINK3" w:colFirst="4" w:colLast="4"/>
            <w:r>
              <w:rPr>
                <w:rFonts w:ascii="仿宋_GB2312" w:hAnsi="仿宋_GB2312" w:eastAsia="仿宋_GB2312" w:cs="仿宋_GB2312"/>
                <w:sz w:val="24"/>
                <w:szCs w:val="24"/>
                <w:shd w:val="clear" w:color="070000" w:fill="FFFFFF"/>
              </w:rPr>
              <w:t>2</w:t>
            </w:r>
          </w:p>
        </w:tc>
        <w:tc>
          <w:tcPr>
            <w:tcW w:w="134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D9DE2ED">
            <w:pPr>
              <w:jc w:val="left"/>
              <w:rPr>
                <w:rFonts w:ascii="仿宋_GB2312" w:hAnsi="仿宋_GB2312" w:eastAsia="仿宋_GB2312"/>
                <w:sz w:val="24"/>
                <w:szCs w:val="24"/>
                <w:shd w:val="clear" w:color="070000" w:fill="FFFFFF"/>
              </w:rPr>
            </w:pPr>
            <w:r>
              <w:rPr>
                <w:rFonts w:hint="eastAsia" w:ascii="仿宋_GB2312" w:hAnsi="宋体" w:eastAsia="仿宋_GB2312" w:cs="仿宋_GB2312"/>
                <w:color w:val="000000"/>
                <w:kern w:val="0"/>
                <w:sz w:val="28"/>
                <w:szCs w:val="28"/>
              </w:rPr>
              <w:t>应建防空地下室的民用建筑项目报建审批（子项：新建民用建筑防空地下室同步建设审批）</w:t>
            </w:r>
          </w:p>
        </w:tc>
        <w:tc>
          <w:tcPr>
            <w:tcW w:w="3811" w:type="dxa"/>
            <w:tcBorders>
              <w:top w:val="single" w:color="auto" w:sz="4" w:space="0"/>
              <w:left w:val="single" w:color="000000" w:sz="4" w:space="0"/>
              <w:bottom w:val="single" w:color="auto" w:sz="4" w:space="0"/>
              <w:right w:val="nil"/>
            </w:tcBorders>
            <w:tcMar>
              <w:top w:w="15" w:type="dxa"/>
              <w:left w:w="15" w:type="dxa"/>
              <w:right w:w="15" w:type="dxa"/>
            </w:tcMar>
            <w:vAlign w:val="center"/>
          </w:tcPr>
          <w:p w14:paraId="0FCE175D">
            <w:pPr>
              <w:rPr>
                <w:rFonts w:ascii="仿宋_GB2312" w:hAnsi="仿宋_GB2312" w:eastAsia="仿宋_GB2312"/>
                <w:sz w:val="24"/>
                <w:szCs w:val="24"/>
                <w:shd w:val="clear" w:color="070000" w:fill="FFFFFF"/>
              </w:rPr>
            </w:pPr>
            <w:r>
              <w:rPr>
                <w:rFonts w:ascii="仿宋" w:hAnsi="仿宋" w:eastAsia="仿宋" w:cs="仿宋"/>
                <w:color w:val="000000"/>
                <w:kern w:val="0"/>
                <w:sz w:val="15"/>
                <w:szCs w:val="15"/>
              </w:rPr>
              <w:t>.</w:t>
            </w:r>
            <w:r>
              <w:rPr>
                <w:rFonts w:hint="eastAsia" w:ascii="仿宋" w:hAnsi="仿宋" w:eastAsia="仿宋" w:cs="仿宋"/>
                <w:color w:val="000000"/>
                <w:kern w:val="0"/>
                <w:sz w:val="15"/>
                <w:szCs w:val="15"/>
              </w:rPr>
              <w:t>《河南省实施＜中华人民共和国人民防空法＞办法》第十一条：为保障战时人员掩蔽、疏散和人民防空指挥而单独修建的人民防空工程属于国防基础设施，由县级以上人民防空主管部门按照城市规划和国家有关规定负责立项审批、设计审查、施工管理和竣工验收；其所需的建设用地依法予以保障。</w:t>
            </w:r>
            <w:r>
              <w:rPr>
                <w:rFonts w:ascii="仿宋" w:hAnsi="仿宋" w:eastAsia="仿宋" w:cs="仿宋"/>
                <w:color w:val="000000"/>
                <w:kern w:val="0"/>
                <w:sz w:val="15"/>
                <w:szCs w:val="15"/>
              </w:rPr>
              <w:t xml:space="preserve">                                        2.</w:t>
            </w:r>
            <w:r>
              <w:rPr>
                <w:rFonts w:hint="eastAsia" w:ascii="仿宋" w:hAnsi="仿宋" w:eastAsia="仿宋" w:cs="仿宋"/>
                <w:color w:val="000000"/>
                <w:kern w:val="0"/>
                <w:sz w:val="15"/>
                <w:szCs w:val="15"/>
              </w:rPr>
              <w:t>《河南省人民防空工程管理办法》（河南省人民政府令第</w:t>
            </w:r>
            <w:r>
              <w:rPr>
                <w:rFonts w:ascii="仿宋" w:hAnsi="仿宋" w:eastAsia="仿宋" w:cs="仿宋"/>
                <w:color w:val="000000"/>
                <w:kern w:val="0"/>
                <w:sz w:val="15"/>
                <w:szCs w:val="15"/>
              </w:rPr>
              <w:t>200</w:t>
            </w:r>
            <w:r>
              <w:rPr>
                <w:rFonts w:hint="eastAsia" w:ascii="仿宋" w:hAnsi="仿宋" w:eastAsia="仿宋" w:cs="仿宋"/>
                <w:color w:val="000000"/>
                <w:kern w:val="0"/>
                <w:sz w:val="15"/>
                <w:szCs w:val="15"/>
              </w:rPr>
              <w:t>号）</w:t>
            </w:r>
            <w:r>
              <w:rPr>
                <w:rFonts w:ascii="仿宋" w:hAnsi="仿宋" w:eastAsia="仿宋" w:cs="仿宋"/>
                <w:color w:val="000000"/>
                <w:kern w:val="0"/>
                <w:sz w:val="15"/>
                <w:szCs w:val="15"/>
              </w:rPr>
              <w:t xml:space="preserve"> </w:t>
            </w:r>
            <w:r>
              <w:rPr>
                <w:rFonts w:hint="eastAsia" w:ascii="仿宋" w:hAnsi="仿宋" w:eastAsia="仿宋" w:cs="仿宋"/>
                <w:color w:val="000000"/>
                <w:kern w:val="0"/>
                <w:sz w:val="15"/>
                <w:szCs w:val="15"/>
              </w:rPr>
              <w:t>第十七条：防空地下室应当与地面建筑同步规划、同步设计、同步建设、同步竣工验收。建设单位应当按照下列规定办理防空地下室建设手续：（一）建设单位向自然资源主管部门提交建设工程设计方案等材料办理相关手续，自然资源主管部门将建设工程设计方案征求人民防空主管部门意见；（二）建设单位根据自然资源主管部门审定的建设工程设计方案，编制防空地下室施工图设计文件（含平战功能转换方案）后并入工程施工图设计文件，报施工图审查机构进行联合审查；（三）建设单位将自然资源主管部门核发的建设工程规划许可证、防空地下室施工图设计文件（含平战功能转换方案）和施工图审查意见等材料，报人民防空主管部门办理防空地下室建设手续。单建人防工程建设手续按照国家和本省规定的权限和程序办理。</w:t>
            </w:r>
            <w:r>
              <w:rPr>
                <w:rFonts w:ascii="仿宋" w:hAnsi="仿宋" w:eastAsia="仿宋" w:cs="仿宋"/>
                <w:color w:val="000000"/>
                <w:kern w:val="0"/>
                <w:sz w:val="15"/>
                <w:szCs w:val="15"/>
              </w:rPr>
              <w:t xml:space="preserve">                                                   3</w:t>
            </w:r>
            <w:r>
              <w:rPr>
                <w:rFonts w:hint="eastAsia" w:ascii="仿宋" w:hAnsi="仿宋" w:eastAsia="仿宋" w:cs="仿宋"/>
                <w:color w:val="000000"/>
                <w:kern w:val="0"/>
                <w:sz w:val="15"/>
                <w:szCs w:val="15"/>
              </w:rPr>
              <w:t>、《河南省实施</w:t>
            </w:r>
            <w:r>
              <w:rPr>
                <w:rFonts w:ascii="仿宋" w:hAnsi="仿宋" w:eastAsia="仿宋" w:cs="仿宋"/>
                <w:color w:val="000000"/>
                <w:kern w:val="0"/>
                <w:sz w:val="15"/>
                <w:szCs w:val="15"/>
              </w:rPr>
              <w:t>&lt;</w:t>
            </w:r>
            <w:r>
              <w:rPr>
                <w:rFonts w:hint="eastAsia" w:ascii="仿宋" w:hAnsi="仿宋" w:eastAsia="仿宋" w:cs="仿宋"/>
                <w:color w:val="000000"/>
                <w:kern w:val="0"/>
                <w:sz w:val="15"/>
                <w:szCs w:val="15"/>
              </w:rPr>
              <w:t>中华人民共和国人民防空法</w:t>
            </w:r>
            <w:r>
              <w:rPr>
                <w:rFonts w:ascii="仿宋" w:hAnsi="仿宋" w:eastAsia="仿宋" w:cs="仿宋"/>
                <w:color w:val="000000"/>
                <w:kern w:val="0"/>
                <w:sz w:val="15"/>
                <w:szCs w:val="15"/>
              </w:rPr>
              <w:t>&gt;</w:t>
            </w:r>
            <w:r>
              <w:rPr>
                <w:rFonts w:hint="eastAsia" w:ascii="仿宋" w:hAnsi="仿宋" w:eastAsia="仿宋" w:cs="仿宋"/>
                <w:color w:val="000000"/>
                <w:kern w:val="0"/>
                <w:sz w:val="15"/>
                <w:szCs w:val="15"/>
              </w:rPr>
              <w:t>办法》第十四条：应当修建防空地下室，但受客观条件限制不能修建的，必须经县级以上人民防空主管部门批准。经批准不修建防空地下室的，由建设单位按照国家和省的规定缴纳人民防空工程易地建设费，由人民防空主管部门根据人民防空工程建设规划统一修建。除国家规定的易地建设费减免项目外，任何部门或者个人不得批准免缴、减缴易地建设费。</w:t>
            </w:r>
            <w:r>
              <w:rPr>
                <w:rFonts w:ascii="仿宋" w:hAnsi="仿宋" w:eastAsia="仿宋" w:cs="仿宋"/>
                <w:color w:val="000000"/>
                <w:kern w:val="0"/>
                <w:sz w:val="15"/>
                <w:szCs w:val="15"/>
              </w:rPr>
              <w:t xml:space="preserve">                           4</w:t>
            </w:r>
            <w:r>
              <w:rPr>
                <w:rFonts w:hint="eastAsia" w:ascii="仿宋" w:hAnsi="仿宋" w:eastAsia="仿宋" w:cs="仿宋"/>
                <w:color w:val="000000"/>
                <w:kern w:val="0"/>
                <w:sz w:val="15"/>
                <w:szCs w:val="15"/>
              </w:rPr>
              <w:t>、《河南省人民防空工程管理办法》第十三条：新建民用建筑应当按照其一次性规划新建或者新增地上总建筑面积的下列比例修建防护级别</w:t>
            </w:r>
            <w:r>
              <w:rPr>
                <w:rFonts w:ascii="仿宋" w:hAnsi="仿宋" w:eastAsia="仿宋" w:cs="仿宋"/>
                <w:color w:val="000000"/>
                <w:kern w:val="0"/>
                <w:sz w:val="15"/>
                <w:szCs w:val="15"/>
              </w:rPr>
              <w:t>6</w:t>
            </w:r>
            <w:r>
              <w:rPr>
                <w:rFonts w:hint="eastAsia" w:ascii="仿宋" w:hAnsi="仿宋" w:eastAsia="仿宋" w:cs="仿宋"/>
                <w:color w:val="000000"/>
                <w:kern w:val="0"/>
                <w:sz w:val="15"/>
                <w:szCs w:val="15"/>
              </w:rPr>
              <w:t>级以上防空地下室：（一）国家一、二、三类人民防空重点城市修建比例依次为百分之八、百分之七、百分之六；（二）国家人民防空重点城市之外的城市修建比例为百分之六；（三）城市规划区外的开发区、工业园区、保税区、重要经济目标区、重点镇等修建比例为百分之四。前款规定区域内的物流仓储用地建设项目应当按照其一次性规划新建或者新增地上总建筑面积的百分之二修建防护级别</w:t>
            </w:r>
            <w:r>
              <w:rPr>
                <w:rFonts w:ascii="仿宋" w:hAnsi="仿宋" w:eastAsia="仿宋" w:cs="仿宋"/>
                <w:color w:val="000000"/>
                <w:kern w:val="0"/>
                <w:sz w:val="15"/>
                <w:szCs w:val="15"/>
              </w:rPr>
              <w:t>6</w:t>
            </w:r>
            <w:r>
              <w:rPr>
                <w:rFonts w:hint="eastAsia" w:ascii="仿宋" w:hAnsi="仿宋" w:eastAsia="仿宋" w:cs="仿宋"/>
                <w:color w:val="000000"/>
                <w:kern w:val="0"/>
                <w:sz w:val="15"/>
                <w:szCs w:val="15"/>
              </w:rPr>
              <w:t>级以上防空地下室。防空地下室的战时功能、防护级别、建设规模、空间位置由人民防空主管部门按照人防工程建设规划和国家有关规定确定。本条所称民用建筑包括除工业生产厂房及其配套设施以外的所有非生产性建筑。第十四条：应当修建防空地下室的新建民用建筑有下列情形之一，不能按照规定修建防空地下室的，建设单位应当报人民防空主管部门批准：经批准不修建的，按照国家和本省的规定缴纳防空地下室易地建设费，由人民防空主管部门按照人防工程建设规划统一易地建设：（一）所在地块被禁止、限制开发利用地下空间的；（二）建在流砂、暗河、基岩埋深很浅等地段的项目，因地质条件不适于修建的；（三）建设地段房屋或者地下管道设施密集，防空地下室不能施工或者难以采取措施保证施工安全的；（四）按照规定标准应建防空地下室面积小于</w:t>
            </w:r>
            <w:r>
              <w:rPr>
                <w:rFonts w:ascii="仿宋" w:hAnsi="仿宋" w:eastAsia="仿宋" w:cs="仿宋"/>
                <w:color w:val="000000"/>
                <w:kern w:val="0"/>
                <w:sz w:val="15"/>
                <w:szCs w:val="15"/>
              </w:rPr>
              <w:t>1000</w:t>
            </w:r>
            <w:r>
              <w:rPr>
                <w:rFonts w:hint="eastAsia" w:ascii="仿宋" w:hAnsi="仿宋" w:eastAsia="仿宋" w:cs="仿宋"/>
                <w:color w:val="000000"/>
                <w:kern w:val="0"/>
                <w:sz w:val="15"/>
                <w:szCs w:val="15"/>
              </w:rPr>
              <w:t>平方米（除医疗救护、防空专业队队员掩蔽部工程外），且建设单位提出缴纳防空地下室易地建设费申请的。属于前款第二项、第三项情形，建设单位申请易地建设报人民防空主管部门批准的，应当提供勘察单位出具的地质勘察报告和设计单位出具的资料；人民防空主管部门应当组织专家论证，必要时举行听证会，听取各方面意见，并在批准前向社会公示。第十五条：经批准不修建防空地下室的下列新建民用建筑，应当减免防空地下室易地建设费：（一）新建幼儿园、学校教学楼、养老院及为残疾人修建的生活服务设施等民用建筑予以减半收取；（二）享受政府优惠政策建设的廉租房、公共租赁住房、经济适用房和棚户区改造安置住房等居民住房予以免收；（三）中小学校舍安全工程予以免收；（五）因遭受水灾、火灾或者其他不可抗拒的灾害造成损坏后按原建筑面积修复的民用建筑予以免收。除前款规定和国家另有规定的减免项目外，任何单位或者个人不得批准减免、缓交防空地下室易地建设费，不得批准免建、少建、缓建防空地下室或者降低防空地下室防护级别。</w:t>
            </w:r>
            <w:r>
              <w:rPr>
                <w:rFonts w:ascii="仿宋" w:hAnsi="仿宋" w:eastAsia="仿宋" w:cs="仿宋"/>
                <w:color w:val="000000"/>
                <w:kern w:val="0"/>
                <w:sz w:val="15"/>
                <w:szCs w:val="15"/>
              </w:rPr>
              <w:t xml:space="preserve">    </w:t>
            </w:r>
          </w:p>
        </w:tc>
        <w:tc>
          <w:tcPr>
            <w:tcW w:w="9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E94CF43">
            <w:pPr>
              <w:jc w:val="center"/>
              <w:rPr>
                <w:rFonts w:ascii="仿宋_GB2312" w:hAnsi="仿宋_GB2312" w:eastAsia="仿宋_GB2312"/>
                <w:sz w:val="24"/>
                <w:szCs w:val="24"/>
                <w:shd w:val="clear" w:color="070000" w:fill="FFFFFF"/>
              </w:rPr>
            </w:pPr>
            <w:r>
              <w:rPr>
                <w:rFonts w:hint="eastAsia" w:ascii="仿宋" w:hAnsi="仿宋" w:eastAsia="仿宋" w:cs="仿宋"/>
                <w:color w:val="000000"/>
                <w:kern w:val="0"/>
                <w:sz w:val="22"/>
                <w:szCs w:val="22"/>
              </w:rPr>
              <w:t>其他职权</w:t>
            </w:r>
          </w:p>
        </w:tc>
        <w:tc>
          <w:tcPr>
            <w:tcW w:w="292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4B5D0BC">
            <w:pPr>
              <w:pStyle w:val="17"/>
              <w:widowControl/>
              <w:spacing w:beforeAutospacing="0" w:afterAutospacing="0"/>
              <w:jc w:val="center"/>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受理</w:t>
            </w:r>
            <w:r>
              <w:rPr>
                <w:rFonts w:ascii="宋体" w:hAnsi="宋体" w:cs="宋体"/>
                <w:color w:val="000000"/>
                <w:sz w:val="18"/>
                <w:szCs w:val="18"/>
              </w:rPr>
              <w:t>,2.</w:t>
            </w:r>
            <w:r>
              <w:rPr>
                <w:rFonts w:hint="eastAsia" w:ascii="宋体" w:hAnsi="宋体" w:cs="宋体"/>
                <w:color w:val="000000"/>
                <w:sz w:val="18"/>
                <w:szCs w:val="18"/>
              </w:rPr>
              <w:t>审核，</w:t>
            </w:r>
            <w:r>
              <w:rPr>
                <w:rFonts w:ascii="宋体" w:hAnsi="宋体" w:cs="宋体"/>
                <w:color w:val="000000"/>
                <w:sz w:val="18"/>
                <w:szCs w:val="18"/>
              </w:rPr>
              <w:t>3.</w:t>
            </w:r>
            <w:r>
              <w:rPr>
                <w:rFonts w:hint="eastAsia" w:ascii="宋体" w:hAnsi="宋体" w:cs="宋体"/>
                <w:color w:val="000000"/>
                <w:sz w:val="18"/>
                <w:szCs w:val="18"/>
              </w:rPr>
              <w:t>决定，</w:t>
            </w:r>
            <w:r>
              <w:rPr>
                <w:rFonts w:ascii="宋体" w:hAnsi="宋体" w:cs="宋体"/>
                <w:color w:val="000000"/>
                <w:sz w:val="18"/>
                <w:szCs w:val="18"/>
              </w:rPr>
              <w:t>4.</w:t>
            </w:r>
            <w:r>
              <w:rPr>
                <w:rFonts w:hint="eastAsia" w:ascii="宋体" w:hAnsi="宋体" w:cs="宋体"/>
                <w:color w:val="000000"/>
                <w:sz w:val="18"/>
                <w:szCs w:val="18"/>
              </w:rPr>
              <w:t>送达，</w:t>
            </w:r>
            <w:r>
              <w:rPr>
                <w:rFonts w:ascii="宋体" w:hAnsi="宋体" w:cs="宋体"/>
                <w:color w:val="000000"/>
                <w:sz w:val="18"/>
                <w:szCs w:val="18"/>
              </w:rPr>
              <w:t>5.</w:t>
            </w:r>
            <w:r>
              <w:rPr>
                <w:rFonts w:hint="eastAsia" w:ascii="宋体" w:hAnsi="宋体" w:cs="宋体"/>
                <w:color w:val="000000"/>
                <w:sz w:val="18"/>
                <w:szCs w:val="18"/>
              </w:rPr>
              <w:t>事后监管</w:t>
            </w:r>
          </w:p>
          <w:p w14:paraId="6841E645">
            <w:pPr>
              <w:pStyle w:val="17"/>
              <w:widowControl/>
              <w:spacing w:beforeAutospacing="0" w:afterAutospacing="0"/>
              <w:jc w:val="center"/>
              <w:rPr>
                <w:rFonts w:ascii="仿宋_GB2312" w:hAnsi="仿宋_GB2312" w:eastAsia="仿宋_GB2312" w:cs="Times New Roman"/>
              </w:rPr>
            </w:pPr>
            <w:r>
              <w:rPr>
                <w:rFonts w:ascii="宋体" w:hAnsi="宋体" w:cs="宋体"/>
                <w:color w:val="000000"/>
                <w:sz w:val="18"/>
                <w:szCs w:val="18"/>
              </w:rPr>
              <w:t>1.</w:t>
            </w:r>
            <w:r>
              <w:rPr>
                <w:rFonts w:hint="eastAsia" w:ascii="宋体" w:hAnsi="宋体" w:cs="宋体"/>
                <w:color w:val="000000"/>
                <w:sz w:val="18"/>
                <w:szCs w:val="18"/>
              </w:rPr>
              <w:t>受理</w:t>
            </w:r>
            <w:r>
              <w:rPr>
                <w:rFonts w:ascii="宋体" w:hAnsi="宋体" w:cs="宋体"/>
                <w:color w:val="000000"/>
                <w:sz w:val="18"/>
                <w:szCs w:val="18"/>
              </w:rPr>
              <w:t>,2.</w:t>
            </w:r>
            <w:r>
              <w:rPr>
                <w:rFonts w:hint="eastAsia" w:ascii="宋体" w:hAnsi="宋体" w:cs="宋体"/>
                <w:color w:val="000000"/>
                <w:sz w:val="18"/>
                <w:szCs w:val="18"/>
              </w:rPr>
              <w:t>审核，</w:t>
            </w:r>
            <w:r>
              <w:rPr>
                <w:rFonts w:ascii="宋体" w:hAnsi="宋体" w:cs="宋体"/>
                <w:color w:val="000000"/>
                <w:sz w:val="18"/>
                <w:szCs w:val="18"/>
              </w:rPr>
              <w:t>3.</w:t>
            </w:r>
            <w:r>
              <w:rPr>
                <w:rFonts w:hint="eastAsia" w:ascii="宋体" w:hAnsi="宋体" w:cs="宋体"/>
                <w:color w:val="000000"/>
                <w:sz w:val="18"/>
                <w:szCs w:val="18"/>
              </w:rPr>
              <w:t>决定，</w:t>
            </w:r>
            <w:r>
              <w:rPr>
                <w:rFonts w:ascii="宋体" w:hAnsi="宋体" w:cs="宋体"/>
                <w:color w:val="000000"/>
                <w:sz w:val="18"/>
                <w:szCs w:val="18"/>
              </w:rPr>
              <w:t>4.</w:t>
            </w:r>
            <w:r>
              <w:rPr>
                <w:rFonts w:hint="eastAsia" w:ascii="宋体" w:hAnsi="宋体" w:cs="宋体"/>
                <w:color w:val="000000"/>
                <w:sz w:val="18"/>
                <w:szCs w:val="18"/>
              </w:rPr>
              <w:t>送达，</w:t>
            </w:r>
            <w:r>
              <w:rPr>
                <w:rFonts w:ascii="宋体" w:hAnsi="宋体" w:cs="宋体"/>
                <w:color w:val="000000"/>
                <w:sz w:val="18"/>
                <w:szCs w:val="18"/>
              </w:rPr>
              <w:t>5.</w:t>
            </w:r>
            <w:r>
              <w:rPr>
                <w:rFonts w:hint="eastAsia" w:ascii="宋体" w:hAnsi="宋体" w:cs="宋体"/>
                <w:color w:val="000000"/>
                <w:sz w:val="18"/>
                <w:szCs w:val="18"/>
              </w:rPr>
              <w:t>事后监管</w:t>
            </w:r>
          </w:p>
          <w:p w14:paraId="0C626CE8">
            <w:pPr>
              <w:pStyle w:val="17"/>
              <w:widowControl/>
              <w:spacing w:beforeAutospacing="0" w:afterAutospacing="0"/>
              <w:jc w:val="center"/>
              <w:rPr>
                <w:rFonts w:ascii="仿宋_GB2312" w:hAnsi="仿宋_GB2312" w:eastAsia="仿宋_GB2312" w:cs="Times New Roman"/>
              </w:rPr>
            </w:pPr>
          </w:p>
        </w:tc>
        <w:tc>
          <w:tcPr>
            <w:tcW w:w="33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8F5EC5">
            <w:pPr>
              <w:widowControl/>
              <w:jc w:val="left"/>
            </w:pPr>
            <w:r>
              <w:rPr>
                <w:rFonts w:hint="eastAsia" w:ascii="仿宋_GB2312" w:hAnsi="仿宋_GB2312" w:eastAsia="仿宋_GB2312" w:cs="仿宋_GB2312"/>
                <w:color w:val="000000"/>
                <w:kern w:val="0"/>
                <w:sz w:val="19"/>
                <w:szCs w:val="19"/>
              </w:rPr>
              <w:t>受理</w:t>
            </w:r>
            <w:r>
              <w:rPr>
                <w:rFonts w:ascii="仿宋_GB2312" w:hAnsi="仿宋_GB2312" w:eastAsia="仿宋_GB2312" w:cs="仿宋_GB2312"/>
                <w:color w:val="000000"/>
                <w:kern w:val="0"/>
                <w:sz w:val="19"/>
                <w:szCs w:val="19"/>
              </w:rPr>
              <w:t>:</w:t>
            </w:r>
            <w:r>
              <w:rPr>
                <w:rFonts w:hint="eastAsia" w:ascii="仿宋_GB2312" w:hAnsi="仿宋_GB2312" w:eastAsia="仿宋_GB2312" w:cs="仿宋_GB2312"/>
                <w:color w:val="000000"/>
                <w:kern w:val="0"/>
                <w:sz w:val="19"/>
                <w:szCs w:val="19"/>
              </w:rPr>
              <w:t>工作人员接收申报材料，所交材料不齐全或不符合</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法定要求的，签发《一次性告知书》。如所交材料</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存在可以当场更正的错误，申请人可当场更正。如</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所交材料齐全，应当场作出是否受理决定，并签发</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《受理通知书》或《不予受理通知书》。</w:t>
            </w:r>
          </w:p>
          <w:p w14:paraId="095E7F6C">
            <w:pPr>
              <w:widowControl/>
              <w:jc w:val="left"/>
            </w:pPr>
            <w:r>
              <w:rPr>
                <w:rFonts w:hint="eastAsia" w:ascii="仿宋_GB2312" w:hAnsi="仿宋_GB2312" w:eastAsia="仿宋_GB2312" w:cs="仿宋_GB2312"/>
                <w:color w:val="000000"/>
                <w:kern w:val="0"/>
                <w:sz w:val="19"/>
                <w:szCs w:val="19"/>
              </w:rPr>
              <w:t>审核：在受理申报材料后，由办理科室对内容进行审查。</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如有必要，启动特殊环节进行辅助审查。</w:t>
            </w:r>
          </w:p>
          <w:p w14:paraId="152F9952">
            <w:pPr>
              <w:widowControl/>
              <w:jc w:val="left"/>
            </w:pPr>
            <w:r>
              <w:rPr>
                <w:rFonts w:hint="eastAsia" w:ascii="仿宋_GB2312" w:hAnsi="仿宋_GB2312" w:eastAsia="仿宋_GB2312" w:cs="仿宋_GB2312"/>
                <w:color w:val="000000"/>
                <w:kern w:val="0"/>
                <w:sz w:val="19"/>
                <w:szCs w:val="19"/>
              </w:rPr>
              <w:t>决定：作出是否同意申请事项的决定。作出准予审批（办</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理）决定的，签发审批办理结果；作出不予审批（办</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理）决定的，签发《不予审批（办理）告知单》。</w:t>
            </w:r>
          </w:p>
          <w:p w14:paraId="2CF7E074">
            <w:pPr>
              <w:widowControl/>
              <w:jc w:val="left"/>
            </w:pPr>
            <w:r>
              <w:rPr>
                <w:rFonts w:hint="eastAsia" w:ascii="仿宋_GB2312" w:hAnsi="仿宋_GB2312" w:eastAsia="仿宋_GB2312" w:cs="仿宋_GB2312"/>
                <w:color w:val="000000"/>
                <w:kern w:val="0"/>
                <w:sz w:val="19"/>
                <w:szCs w:val="19"/>
              </w:rPr>
              <w:t>送达：实施机关作出决定当日应通知申请人，及时向申请</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人颁发、送达审批服务事项办理结果。</w:t>
            </w:r>
          </w:p>
          <w:p w14:paraId="56871227">
            <w:pPr>
              <w:widowControl/>
              <w:jc w:val="left"/>
            </w:pPr>
            <w:r>
              <w:rPr>
                <w:rFonts w:hint="eastAsia" w:ascii="仿宋_GB2312" w:hAnsi="仿宋_GB2312" w:eastAsia="仿宋_GB2312" w:cs="仿宋_GB2312"/>
                <w:color w:val="000000"/>
                <w:kern w:val="0"/>
                <w:sz w:val="19"/>
                <w:szCs w:val="19"/>
              </w:rPr>
              <w:t>事后监管：对省级以下人民防空信息系统建设项目审批工作</w:t>
            </w:r>
            <w:r>
              <w:rPr>
                <w:rFonts w:ascii="仿宋_GB2312" w:hAnsi="仿宋_GB2312" w:eastAsia="仿宋_GB2312" w:cs="仿宋_GB2312"/>
                <w:color w:val="000000"/>
                <w:kern w:val="0"/>
                <w:sz w:val="19"/>
                <w:szCs w:val="19"/>
              </w:rPr>
              <w:t xml:space="preserve"> </w:t>
            </w:r>
          </w:p>
          <w:p w14:paraId="30D30AF1">
            <w:pPr>
              <w:pStyle w:val="17"/>
              <w:widowControl/>
              <w:spacing w:beforeAutospacing="0" w:afterAutospacing="0" w:line="300" w:lineRule="exact"/>
              <w:rPr>
                <w:rFonts w:ascii="仿宋_GB2312" w:hAnsi="仿宋_GB2312" w:eastAsia="仿宋_GB2312" w:cs="Times New Roman"/>
                <w:shd w:val="clear" w:color="070000" w:fill="FFFFFF"/>
              </w:rPr>
            </w:pPr>
          </w:p>
        </w:tc>
        <w:tc>
          <w:tcPr>
            <w:tcW w:w="1100" w:type="dxa"/>
            <w:tcBorders>
              <w:top w:val="single" w:color="auto" w:sz="4" w:space="0"/>
              <w:left w:val="single" w:color="auto" w:sz="4" w:space="0"/>
              <w:bottom w:val="single" w:color="auto" w:sz="4" w:space="0"/>
              <w:right w:val="single" w:color="auto" w:sz="4" w:space="0"/>
            </w:tcBorders>
          </w:tcPr>
          <w:p w14:paraId="4720E81D">
            <w:pPr>
              <w:widowControl/>
              <w:jc w:val="left"/>
            </w:pPr>
            <w:r>
              <w:rPr>
                <w:rFonts w:hint="eastAsia" w:ascii="仿宋_GB2312" w:hAnsi="仿宋_GB2312" w:eastAsia="仿宋_GB2312" w:cs="仿宋_GB2312"/>
                <w:color w:val="000000"/>
                <w:kern w:val="0"/>
                <w:sz w:val="19"/>
                <w:szCs w:val="19"/>
              </w:rPr>
              <w:t>受理</w:t>
            </w:r>
            <w:r>
              <w:rPr>
                <w:rFonts w:ascii="仿宋_GB2312" w:hAnsi="仿宋_GB2312" w:eastAsia="仿宋_GB2312" w:cs="仿宋_GB2312"/>
                <w:color w:val="000000"/>
                <w:kern w:val="0"/>
                <w:sz w:val="19"/>
                <w:szCs w:val="19"/>
              </w:rPr>
              <w:t>:</w:t>
            </w:r>
            <w:r>
              <w:rPr>
                <w:rFonts w:hint="eastAsia" w:ascii="仿宋_GB2312" w:hAnsi="仿宋_GB2312" w:eastAsia="仿宋_GB2312" w:cs="仿宋_GB2312"/>
                <w:color w:val="000000"/>
                <w:kern w:val="0"/>
                <w:sz w:val="19"/>
                <w:szCs w:val="19"/>
              </w:rPr>
              <w:t>工作人员接收申报材料，所交材料不齐全或不符合</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法定要求的，签发《一次性告知书》。如所交材料</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存在可以当场更正的错误，申请人可当场更正。如</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所交材料齐全，应当场作出是否受理决定，并签发</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《受理通知书》或《不予受理通知书》。</w:t>
            </w:r>
          </w:p>
          <w:p w14:paraId="353C4B94">
            <w:pPr>
              <w:widowControl/>
              <w:jc w:val="left"/>
            </w:pPr>
            <w:r>
              <w:rPr>
                <w:rFonts w:hint="eastAsia" w:ascii="仿宋_GB2312" w:hAnsi="仿宋_GB2312" w:eastAsia="仿宋_GB2312" w:cs="仿宋_GB2312"/>
                <w:color w:val="000000"/>
                <w:kern w:val="0"/>
                <w:sz w:val="19"/>
                <w:szCs w:val="19"/>
              </w:rPr>
              <w:t>审核：在受理申报材料后，由办理科室对内容进行审查。</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如有必要，启动特殊环节进行辅助审查。</w:t>
            </w:r>
          </w:p>
          <w:p w14:paraId="1C5E0F2E">
            <w:pPr>
              <w:widowControl/>
              <w:jc w:val="left"/>
            </w:pPr>
            <w:r>
              <w:rPr>
                <w:rFonts w:hint="eastAsia" w:ascii="仿宋_GB2312" w:hAnsi="仿宋_GB2312" w:eastAsia="仿宋_GB2312" w:cs="仿宋_GB2312"/>
                <w:color w:val="000000"/>
                <w:kern w:val="0"/>
                <w:sz w:val="19"/>
                <w:szCs w:val="19"/>
              </w:rPr>
              <w:t>决定：作出是否同意申请事项的决定。作出准予审批（办</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理）决定的，签发审批办理结果；作出不予审批（办</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理）决定的，签发《不予审批（办理）告知单》。</w:t>
            </w:r>
          </w:p>
          <w:p w14:paraId="3D2989F9">
            <w:pPr>
              <w:widowControl/>
              <w:jc w:val="left"/>
            </w:pPr>
            <w:r>
              <w:rPr>
                <w:rFonts w:hint="eastAsia" w:ascii="仿宋_GB2312" w:hAnsi="仿宋_GB2312" w:eastAsia="仿宋_GB2312" w:cs="仿宋_GB2312"/>
                <w:color w:val="000000"/>
                <w:kern w:val="0"/>
                <w:sz w:val="19"/>
                <w:szCs w:val="19"/>
              </w:rPr>
              <w:t>送达：实施机关作出决定当日应通知申请人，及时向申请</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人颁发、送达审批服务事项办理结果。</w:t>
            </w:r>
          </w:p>
          <w:p w14:paraId="5BB4E943">
            <w:pPr>
              <w:widowControl/>
              <w:jc w:val="left"/>
            </w:pPr>
            <w:r>
              <w:rPr>
                <w:rFonts w:hint="eastAsia" w:ascii="仿宋_GB2312" w:hAnsi="仿宋_GB2312" w:eastAsia="仿宋_GB2312" w:cs="仿宋_GB2312"/>
                <w:color w:val="000000"/>
                <w:kern w:val="0"/>
                <w:sz w:val="19"/>
                <w:szCs w:val="19"/>
              </w:rPr>
              <w:t>事后监管：对省级以下人民防空信息系统建设项目审批工作</w:t>
            </w:r>
            <w:r>
              <w:rPr>
                <w:rFonts w:ascii="仿宋_GB2312" w:hAnsi="仿宋_GB2312" w:eastAsia="仿宋_GB2312" w:cs="仿宋_GB2312"/>
                <w:color w:val="000000"/>
                <w:kern w:val="0"/>
                <w:sz w:val="19"/>
                <w:szCs w:val="19"/>
              </w:rPr>
              <w:t xml:space="preserve"> </w:t>
            </w:r>
          </w:p>
          <w:p w14:paraId="28E05CA7">
            <w:pPr>
              <w:jc w:val="center"/>
              <w:rPr>
                <w:rFonts w:ascii="仿宋_GB2312" w:hAnsi="仿宋_GB2312" w:eastAsia="仿宋_GB2312"/>
                <w:sz w:val="24"/>
                <w:szCs w:val="24"/>
                <w:shd w:val="clear" w:color="070000" w:fill="FFFFFF"/>
              </w:rPr>
            </w:pPr>
          </w:p>
        </w:tc>
        <w:tc>
          <w:tcPr>
            <w:tcW w:w="17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796900">
            <w:pPr>
              <w:jc w:val="center"/>
              <w:rPr>
                <w:rFonts w:hint="eastAsia" w:cs="宋体"/>
                <w:sz w:val="28"/>
                <w:szCs w:val="28"/>
              </w:rPr>
            </w:pPr>
            <w:r>
              <w:rPr>
                <w:rFonts w:hint="eastAsia" w:cs="宋体"/>
                <w:sz w:val="28"/>
                <w:szCs w:val="28"/>
              </w:rPr>
              <w:t>人防中心</w:t>
            </w:r>
          </w:p>
          <w:p w14:paraId="1F071234">
            <w:pPr>
              <w:jc w:val="center"/>
              <w:rPr>
                <w:rFonts w:ascii="仿宋_GB2312" w:hAnsi="仿宋_GB2312" w:eastAsia="仿宋_GB2312"/>
                <w:sz w:val="24"/>
                <w:szCs w:val="24"/>
                <w:shd w:val="clear" w:color="070000" w:fill="FFFFFF"/>
              </w:rPr>
            </w:pPr>
            <w:r>
              <w:rPr>
                <w:rFonts w:hint="eastAsia" w:ascii="仿宋_GB2312" w:hAnsi="仿宋_GB2312" w:eastAsia="仿宋_GB2312" w:cs="仿宋_GB2312"/>
                <w:color w:val="000000"/>
                <w:sz w:val="28"/>
                <w:szCs w:val="28"/>
              </w:rPr>
              <w:t>工程股</w:t>
            </w:r>
          </w:p>
        </w:tc>
      </w:tr>
      <w:bookmarkEnd w:id="3"/>
      <w:tr w14:paraId="026D56C2">
        <w:tblPrEx>
          <w:tblCellMar>
            <w:top w:w="0" w:type="dxa"/>
            <w:left w:w="0" w:type="dxa"/>
            <w:bottom w:w="0" w:type="dxa"/>
            <w:right w:w="0" w:type="dxa"/>
          </w:tblCellMar>
        </w:tblPrEx>
        <w:trPr>
          <w:trHeight w:val="694" w:hRule="atLeast"/>
          <w:jc w:val="center"/>
        </w:trPr>
        <w:tc>
          <w:tcPr>
            <w:tcW w:w="15887" w:type="dxa"/>
            <w:gridSpan w:val="8"/>
            <w:tcBorders>
              <w:top w:val="single" w:color="auto" w:sz="4" w:space="0"/>
              <w:left w:val="single" w:color="auto" w:sz="4" w:space="0"/>
              <w:bottom w:val="single" w:color="auto" w:sz="4" w:space="0"/>
              <w:right w:val="single" w:color="000000" w:sz="4" w:space="0"/>
            </w:tcBorders>
          </w:tcPr>
          <w:p w14:paraId="5E227B3E">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服务电话：：</w:t>
            </w:r>
            <w:r>
              <w:rPr>
                <w:rFonts w:ascii="仿宋_GB2312" w:hAnsi="仿宋_GB2312" w:eastAsia="仿宋_GB2312" w:cs="仿宋_GB2312"/>
                <w:sz w:val="24"/>
                <w:szCs w:val="24"/>
                <w:shd w:val="clear" w:color="070000" w:fill="FFFFFF"/>
              </w:rPr>
              <w:t xml:space="preserve"> 0377-66887352                    </w:t>
            </w:r>
            <w:r>
              <w:rPr>
                <w:rFonts w:hint="eastAsia" w:ascii="仿宋_GB2312" w:hAnsi="仿宋_GB2312" w:eastAsia="仿宋_GB2312" w:cs="仿宋_GB2312"/>
                <w:sz w:val="24"/>
                <w:szCs w:val="24"/>
                <w:shd w:val="clear" w:color="070000" w:fill="FFFFFF"/>
              </w:rPr>
              <w:t>投诉机构</w:t>
            </w:r>
            <w:r>
              <w:rPr>
                <w:rFonts w:ascii="仿宋_GB2312" w:hAnsi="仿宋_GB2312" w:eastAsia="仿宋_GB2312" w:cs="仿宋_GB2312"/>
                <w:sz w:val="24"/>
                <w:szCs w:val="24"/>
                <w:shd w:val="clear" w:color="070000" w:fill="FFFFFF"/>
              </w:rPr>
              <w:t xml:space="preserve">:  </w:t>
            </w:r>
            <w:r>
              <w:rPr>
                <w:rFonts w:hint="eastAsia" w:ascii="仿宋_GB2312" w:hAnsi="仿宋_GB2312" w:eastAsia="仿宋_GB2312" w:cs="仿宋_GB2312"/>
                <w:sz w:val="24"/>
                <w:szCs w:val="24"/>
                <w:shd w:val="clear" w:color="070000" w:fill="FFFFFF"/>
              </w:rPr>
              <w:t>南召县人防中心</w:t>
            </w:r>
            <w:r>
              <w:rPr>
                <w:rFonts w:ascii="仿宋_GB2312" w:hAnsi="仿宋_GB2312" w:eastAsia="仿宋_GB2312" w:cs="仿宋_GB2312"/>
                <w:sz w:val="24"/>
                <w:szCs w:val="24"/>
                <w:shd w:val="clear" w:color="070000" w:fill="FFFFFF"/>
              </w:rPr>
              <w:t xml:space="preserve">                           </w:t>
            </w:r>
            <w:r>
              <w:rPr>
                <w:rFonts w:hint="eastAsia" w:ascii="仿宋_GB2312" w:hAnsi="仿宋_GB2312" w:eastAsia="仿宋_GB2312" w:cs="仿宋_GB2312"/>
                <w:sz w:val="24"/>
                <w:szCs w:val="24"/>
                <w:shd w:val="clear" w:color="070000" w:fill="FFFFFF"/>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2D62ECE3">
        <w:tblPrEx>
          <w:tblCellMar>
            <w:top w:w="0" w:type="dxa"/>
            <w:left w:w="0" w:type="dxa"/>
            <w:bottom w:w="0" w:type="dxa"/>
            <w:right w:w="0" w:type="dxa"/>
          </w:tblCellMar>
        </w:tblPrEx>
        <w:trPr>
          <w:trHeight w:val="1069" w:hRule="atLeast"/>
          <w:jc w:val="center"/>
        </w:trPr>
        <w:tc>
          <w:tcPr>
            <w:tcW w:w="15887" w:type="dxa"/>
            <w:gridSpan w:val="8"/>
            <w:tcBorders>
              <w:top w:val="single" w:color="auto" w:sz="4" w:space="0"/>
              <w:left w:val="single" w:color="auto" w:sz="4" w:space="0"/>
              <w:bottom w:val="single" w:color="auto" w:sz="4" w:space="0"/>
              <w:right w:val="single" w:color="auto" w:sz="4" w:space="0"/>
            </w:tcBorders>
          </w:tcPr>
          <w:p w14:paraId="4CF81164">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sz w:val="24"/>
                <w:szCs w:val="24"/>
                <w:shd w:val="clear" w:color="070000" w:fill="FFFFFF"/>
              </w:rPr>
              <w:t>受理地点：南召县人民南路综合行政办公大楼东楼三楼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7466C2AC">
      <w:pPr>
        <w:widowControl/>
        <w:adjustRightInd w:val="0"/>
        <w:snapToGrid w:val="0"/>
        <w:spacing w:line="600" w:lineRule="exact"/>
        <w:jc w:val="left"/>
        <w:rPr>
          <w:rFonts w:ascii="仿宋_GB2312" w:hAnsi="仿宋_GB2312" w:eastAsia="仿宋_GB2312"/>
          <w:sz w:val="32"/>
          <w:szCs w:val="32"/>
        </w:rPr>
      </w:pPr>
    </w:p>
    <w:tbl>
      <w:tblPr>
        <w:tblStyle w:val="8"/>
        <w:tblpPr w:leftFromText="180" w:rightFromText="180" w:vertAnchor="text" w:horzAnchor="page" w:tblpX="667" w:tblpY="645"/>
        <w:tblOverlap w:val="never"/>
        <w:tblW w:w="15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2612"/>
        <w:gridCol w:w="3738"/>
        <w:gridCol w:w="937"/>
        <w:gridCol w:w="929"/>
        <w:gridCol w:w="3921"/>
        <w:gridCol w:w="1513"/>
        <w:gridCol w:w="1226"/>
      </w:tblGrid>
      <w:tr w14:paraId="7ABD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03" w:type="dxa"/>
          </w:tcPr>
          <w:p w14:paraId="722D2CF3">
            <w:pPr>
              <w:spacing w:before="202" w:line="221" w:lineRule="auto"/>
              <w:ind w:left="328"/>
              <w:rPr>
                <w:rFonts w:ascii="宋体"/>
                <w:sz w:val="24"/>
                <w:szCs w:val="24"/>
              </w:rPr>
            </w:pPr>
            <w:r>
              <w:rPr>
                <w:rFonts w:hint="eastAsia" w:ascii="宋体" w:hAnsi="宋体" w:cs="宋体"/>
                <w:b/>
                <w:bCs/>
                <w:spacing w:val="-5"/>
                <w:sz w:val="24"/>
                <w:szCs w:val="24"/>
              </w:rPr>
              <w:t>序号</w:t>
            </w:r>
          </w:p>
        </w:tc>
        <w:tc>
          <w:tcPr>
            <w:tcW w:w="2612" w:type="dxa"/>
          </w:tcPr>
          <w:p w14:paraId="4D419FC2">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738" w:type="dxa"/>
          </w:tcPr>
          <w:p w14:paraId="3D043D64">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7" w:type="dxa"/>
          </w:tcPr>
          <w:p w14:paraId="3DFA5E63">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5FAFB45E">
            <w:pPr>
              <w:spacing w:before="1" w:line="209" w:lineRule="auto"/>
              <w:ind w:left="287"/>
              <w:rPr>
                <w:rFonts w:ascii="宋体"/>
                <w:sz w:val="24"/>
                <w:szCs w:val="24"/>
              </w:rPr>
            </w:pPr>
            <w:r>
              <w:rPr>
                <w:rFonts w:hint="eastAsia" w:ascii="宋体" w:hAnsi="宋体" w:cs="宋体"/>
                <w:b/>
                <w:bCs/>
                <w:spacing w:val="3"/>
                <w:sz w:val="24"/>
                <w:szCs w:val="24"/>
              </w:rPr>
              <w:t>类别</w:t>
            </w:r>
          </w:p>
        </w:tc>
        <w:tc>
          <w:tcPr>
            <w:tcW w:w="929" w:type="dxa"/>
          </w:tcPr>
          <w:p w14:paraId="62BCFB26">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921" w:type="dxa"/>
          </w:tcPr>
          <w:p w14:paraId="3F566B1A">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513" w:type="dxa"/>
          </w:tcPr>
          <w:p w14:paraId="4E7A13D8">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226" w:type="dxa"/>
          </w:tcPr>
          <w:p w14:paraId="4805075A">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6254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7" w:hRule="atLeast"/>
        </w:trPr>
        <w:tc>
          <w:tcPr>
            <w:tcW w:w="603" w:type="dxa"/>
          </w:tcPr>
          <w:p w14:paraId="32222547">
            <w:pPr>
              <w:spacing w:line="260" w:lineRule="auto"/>
              <w:jc w:val="left"/>
              <w:rPr>
                <w:rFonts w:ascii="Arial"/>
              </w:rPr>
            </w:pPr>
          </w:p>
          <w:p w14:paraId="60F92148">
            <w:pPr>
              <w:spacing w:line="260" w:lineRule="auto"/>
              <w:jc w:val="left"/>
              <w:rPr>
                <w:rFonts w:ascii="Arial"/>
              </w:rPr>
            </w:pPr>
          </w:p>
          <w:p w14:paraId="1F98F2F1">
            <w:pPr>
              <w:spacing w:line="260" w:lineRule="auto"/>
              <w:jc w:val="left"/>
              <w:rPr>
                <w:rFonts w:ascii="Arial"/>
              </w:rPr>
            </w:pPr>
          </w:p>
          <w:p w14:paraId="1FE64C05">
            <w:pPr>
              <w:spacing w:line="260" w:lineRule="auto"/>
              <w:jc w:val="left"/>
              <w:rPr>
                <w:rFonts w:ascii="Arial"/>
              </w:rPr>
            </w:pPr>
          </w:p>
          <w:p w14:paraId="3461EF7E">
            <w:pPr>
              <w:spacing w:line="260" w:lineRule="auto"/>
              <w:jc w:val="left"/>
              <w:rPr>
                <w:rFonts w:ascii="Arial"/>
              </w:rPr>
            </w:pPr>
          </w:p>
          <w:p w14:paraId="1D76423A">
            <w:pPr>
              <w:spacing w:line="261" w:lineRule="auto"/>
              <w:jc w:val="left"/>
              <w:rPr>
                <w:rFonts w:ascii="Arial"/>
              </w:rPr>
            </w:pPr>
          </w:p>
          <w:p w14:paraId="7C154DED">
            <w:pPr>
              <w:spacing w:before="78" w:line="184" w:lineRule="auto"/>
              <w:jc w:val="left"/>
              <w:rPr>
                <w:rFonts w:hint="eastAsia" w:ascii="宋体" w:eastAsia="宋体"/>
                <w:sz w:val="24"/>
                <w:szCs w:val="24"/>
                <w:lang w:val="en-US" w:eastAsia="zh-CN"/>
              </w:rPr>
            </w:pPr>
            <w:r>
              <w:rPr>
                <w:rFonts w:hint="eastAsia" w:ascii="宋体"/>
                <w:sz w:val="24"/>
                <w:szCs w:val="24"/>
                <w:lang w:val="en-US" w:eastAsia="zh-CN"/>
              </w:rPr>
              <w:t>3</w:t>
            </w:r>
          </w:p>
        </w:tc>
        <w:tc>
          <w:tcPr>
            <w:tcW w:w="2612" w:type="dxa"/>
          </w:tcPr>
          <w:p w14:paraId="45CF6705">
            <w:pPr>
              <w:jc w:val="left"/>
              <w:rPr>
                <w:rFonts w:ascii="仿宋_GB2312" w:hAnsi="宋体" w:eastAsia="仿宋_GB2312"/>
                <w:color w:val="000000"/>
                <w:kern w:val="0"/>
                <w:sz w:val="28"/>
                <w:szCs w:val="28"/>
              </w:rPr>
            </w:pPr>
          </w:p>
          <w:p w14:paraId="31F278A8">
            <w:pPr>
              <w:jc w:val="left"/>
              <w:rPr>
                <w:rFonts w:ascii="仿宋_GB2312" w:hAnsi="宋体" w:eastAsia="仿宋_GB2312"/>
                <w:color w:val="000000"/>
                <w:kern w:val="0"/>
                <w:sz w:val="28"/>
                <w:szCs w:val="28"/>
              </w:rPr>
            </w:pPr>
          </w:p>
          <w:p w14:paraId="5974E398">
            <w:pPr>
              <w:jc w:val="left"/>
              <w:rPr>
                <w:rFonts w:ascii="仿宋_GB2312" w:hAnsi="宋体" w:eastAsia="仿宋_GB2312"/>
                <w:color w:val="000000"/>
                <w:kern w:val="0"/>
                <w:sz w:val="28"/>
                <w:szCs w:val="28"/>
              </w:rPr>
            </w:pPr>
          </w:p>
          <w:p w14:paraId="23C8C159">
            <w:pPr>
              <w:jc w:val="left"/>
              <w:rPr>
                <w:rFonts w:ascii="Arial"/>
              </w:rPr>
            </w:pPr>
            <w:r>
              <w:rPr>
                <w:rFonts w:hint="eastAsia" w:ascii="仿宋_GB2312" w:hAnsi="宋体" w:eastAsia="仿宋_GB2312" w:cs="仿宋_GB2312"/>
                <w:color w:val="000000"/>
                <w:kern w:val="0"/>
                <w:sz w:val="28"/>
                <w:szCs w:val="28"/>
              </w:rPr>
              <w:t>城市地下交通干线及其他地下工程兼顾人民防空需要审查</w:t>
            </w:r>
          </w:p>
        </w:tc>
        <w:tc>
          <w:tcPr>
            <w:tcW w:w="3738" w:type="dxa"/>
          </w:tcPr>
          <w:p w14:paraId="15C76870">
            <w:pPr>
              <w:jc w:val="left"/>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、《中华人民共和国人民防空法》第十四条：城市的地下交通干线以及其他地下工程的建设，应当兼顾人民防空需要。</w:t>
            </w:r>
            <w:r>
              <w:rPr>
                <w:rFonts w:ascii="仿宋" w:hAnsi="仿宋" w:eastAsia="仿宋" w:cs="仿宋"/>
                <w:color w:val="000000"/>
                <w:kern w:val="0"/>
                <w:sz w:val="22"/>
                <w:szCs w:val="22"/>
              </w:rPr>
              <w:t xml:space="preserve"> 2</w:t>
            </w:r>
            <w:r>
              <w:rPr>
                <w:rFonts w:hint="eastAsia" w:ascii="仿宋" w:hAnsi="仿宋" w:eastAsia="仿宋" w:cs="仿宋"/>
                <w:color w:val="000000"/>
                <w:kern w:val="0"/>
                <w:sz w:val="22"/>
                <w:szCs w:val="22"/>
              </w:rPr>
              <w:t>、《河南省人民防空工程管理办法》（河南省人民政府令第</w:t>
            </w:r>
            <w:r>
              <w:rPr>
                <w:rFonts w:ascii="仿宋" w:hAnsi="仿宋" w:eastAsia="仿宋" w:cs="仿宋"/>
                <w:color w:val="000000"/>
                <w:kern w:val="0"/>
                <w:sz w:val="22"/>
                <w:szCs w:val="22"/>
              </w:rPr>
              <w:t>200</w:t>
            </w:r>
            <w:r>
              <w:rPr>
                <w:rFonts w:hint="eastAsia" w:ascii="仿宋" w:hAnsi="仿宋" w:eastAsia="仿宋" w:cs="仿宋"/>
                <w:color w:val="000000"/>
                <w:kern w:val="0"/>
                <w:sz w:val="22"/>
                <w:szCs w:val="22"/>
              </w:rPr>
              <w:t>号）第十条：地铁、隧道等地下交通干线以及城市地下综合管廊等地下公共基础设施的建设</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应当兼顾人民防空需要。利用公园绿地、防护绿地、广场用地、城市道路用地、社会停车场用地以及其他交通设施用地等开发地下空间的精神项目（包括单独开发地下空间和以开发地下空间为主一并开发地面建筑的精神项目）</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应当按照不低于地下总建筑面积的百分之三十修建防护级别</w:t>
            </w:r>
            <w:r>
              <w:rPr>
                <w:rFonts w:ascii="仿宋" w:hAnsi="仿宋" w:eastAsia="仿宋" w:cs="仿宋"/>
                <w:color w:val="000000"/>
                <w:kern w:val="0"/>
                <w:sz w:val="22"/>
                <w:szCs w:val="22"/>
              </w:rPr>
              <w:t>6</w:t>
            </w:r>
            <w:r>
              <w:rPr>
                <w:rFonts w:hint="eastAsia" w:ascii="仿宋" w:hAnsi="仿宋" w:eastAsia="仿宋" w:cs="仿宋"/>
                <w:color w:val="000000"/>
                <w:kern w:val="0"/>
                <w:sz w:val="22"/>
                <w:szCs w:val="22"/>
              </w:rPr>
              <w:t>级以上人防工程。</w:t>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、《国务院</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中央军委关于进一步推进人民防空事业发展的若干意见》（国发〔</w:t>
            </w:r>
            <w:r>
              <w:rPr>
                <w:rFonts w:ascii="仿宋" w:hAnsi="仿宋" w:eastAsia="仿宋" w:cs="仿宋"/>
                <w:color w:val="000000"/>
                <w:kern w:val="0"/>
                <w:sz w:val="22"/>
                <w:szCs w:val="22"/>
              </w:rPr>
              <w:t>2008</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号）第三部分第（七）、第六部分第（十九）：城市建设要兼顾人民防空要求。城市地下空间开发利用规划，城市公共绿地、广场、地下交通干线以及其他重大基础设施的规划和建设，必须充分考虑人民防空需求，兼顾人民防空功能。完善重要经济目标防护工作机制。凡涉及人民防空要求的重要工程布局和重大项目，投资主管部门在审批、核准或备案前，要征求人民防空部门意见。</w:t>
            </w:r>
            <w:r>
              <w:rPr>
                <w:rFonts w:ascii="仿宋" w:hAnsi="仿宋" w:eastAsia="仿宋" w:cs="仿宋"/>
                <w:color w:val="000000"/>
                <w:kern w:val="0"/>
                <w:sz w:val="22"/>
                <w:szCs w:val="22"/>
              </w:rPr>
              <w:t xml:space="preserve"> </w:t>
            </w:r>
          </w:p>
        </w:tc>
        <w:tc>
          <w:tcPr>
            <w:tcW w:w="937" w:type="dxa"/>
          </w:tcPr>
          <w:p w14:paraId="37909EB8">
            <w:pPr>
              <w:jc w:val="left"/>
              <w:rPr>
                <w:sz w:val="30"/>
                <w:szCs w:val="30"/>
              </w:rPr>
            </w:pPr>
          </w:p>
          <w:p w14:paraId="64774240">
            <w:pPr>
              <w:jc w:val="left"/>
              <w:rPr>
                <w:sz w:val="30"/>
                <w:szCs w:val="30"/>
              </w:rPr>
            </w:pPr>
          </w:p>
          <w:p w14:paraId="07198341">
            <w:pPr>
              <w:jc w:val="left"/>
              <w:rPr>
                <w:sz w:val="30"/>
                <w:szCs w:val="30"/>
              </w:rPr>
            </w:pPr>
          </w:p>
          <w:p w14:paraId="1C88F53A">
            <w:pPr>
              <w:jc w:val="left"/>
              <w:rPr>
                <w:sz w:val="30"/>
                <w:szCs w:val="30"/>
              </w:rPr>
            </w:pPr>
          </w:p>
          <w:p w14:paraId="3E04F725">
            <w:pPr>
              <w:jc w:val="left"/>
              <w:rPr>
                <w:sz w:val="30"/>
                <w:szCs w:val="30"/>
              </w:rPr>
            </w:pPr>
          </w:p>
          <w:p w14:paraId="73F0C636">
            <w:pPr>
              <w:jc w:val="left"/>
              <w:rPr>
                <w:rFonts w:ascii="Arial"/>
              </w:rPr>
            </w:pPr>
            <w:r>
              <w:rPr>
                <w:rFonts w:hint="eastAsia" w:cs="宋体"/>
                <w:sz w:val="30"/>
                <w:szCs w:val="30"/>
              </w:rPr>
              <w:t>行政许可</w:t>
            </w:r>
          </w:p>
        </w:tc>
        <w:tc>
          <w:tcPr>
            <w:tcW w:w="929" w:type="dxa"/>
          </w:tcPr>
          <w:p w14:paraId="1C5DA024">
            <w:pPr>
              <w:jc w:val="left"/>
              <w:rPr>
                <w:rFonts w:ascii="宋体"/>
                <w:sz w:val="24"/>
                <w:szCs w:val="24"/>
              </w:rPr>
            </w:pPr>
          </w:p>
          <w:p w14:paraId="13099780">
            <w:pPr>
              <w:jc w:val="left"/>
              <w:rPr>
                <w:rFonts w:ascii="宋体"/>
                <w:sz w:val="24"/>
                <w:szCs w:val="24"/>
              </w:rPr>
            </w:pPr>
          </w:p>
          <w:p w14:paraId="476AC8C3">
            <w:pPr>
              <w:jc w:val="left"/>
              <w:rPr>
                <w:rFonts w:ascii="宋体"/>
                <w:sz w:val="24"/>
                <w:szCs w:val="24"/>
              </w:rPr>
            </w:pPr>
          </w:p>
          <w:p w14:paraId="15EB66DA">
            <w:pPr>
              <w:jc w:val="left"/>
              <w:rPr>
                <w:rFonts w:ascii="宋体"/>
                <w:sz w:val="24"/>
                <w:szCs w:val="24"/>
              </w:rPr>
            </w:pPr>
          </w:p>
          <w:p w14:paraId="4692A0E6">
            <w:pPr>
              <w:jc w:val="left"/>
              <w:rPr>
                <w:rFonts w:ascii="宋体"/>
                <w:sz w:val="24"/>
                <w:szCs w:val="24"/>
              </w:rPr>
            </w:pPr>
          </w:p>
          <w:p w14:paraId="761D054E">
            <w:pPr>
              <w:jc w:val="left"/>
              <w:rPr>
                <w:rFonts w:ascii="Arial"/>
              </w:rPr>
            </w:pPr>
            <w:r>
              <w:rPr>
                <w:rFonts w:ascii="宋体" w:hAnsi="宋体" w:cs="宋体"/>
                <w:sz w:val="24"/>
                <w:szCs w:val="24"/>
              </w:rPr>
              <w:t>1.</w:t>
            </w:r>
            <w:r>
              <w:rPr>
                <w:rFonts w:hint="eastAsia" w:ascii="宋体" w:hAnsi="宋体" w:cs="宋体"/>
                <w:sz w:val="24"/>
                <w:szCs w:val="24"/>
              </w:rPr>
              <w:t>受理</w:t>
            </w:r>
            <w:r>
              <w:rPr>
                <w:rFonts w:ascii="宋体" w:hAnsi="宋体" w:cs="宋体"/>
                <w:sz w:val="24"/>
                <w:szCs w:val="24"/>
              </w:rPr>
              <w:t>,2.</w:t>
            </w:r>
            <w:r>
              <w:rPr>
                <w:rFonts w:hint="eastAsia" w:ascii="宋体" w:hAnsi="宋体" w:cs="宋体"/>
                <w:sz w:val="24"/>
                <w:szCs w:val="24"/>
              </w:rPr>
              <w:t>审核，</w:t>
            </w:r>
            <w:r>
              <w:rPr>
                <w:rFonts w:ascii="宋体" w:hAnsi="宋体" w:cs="宋体"/>
                <w:sz w:val="24"/>
                <w:szCs w:val="24"/>
              </w:rPr>
              <w:t>3.</w:t>
            </w:r>
            <w:r>
              <w:rPr>
                <w:rFonts w:hint="eastAsia" w:ascii="宋体" w:hAnsi="宋体" w:cs="宋体"/>
                <w:sz w:val="24"/>
                <w:szCs w:val="24"/>
              </w:rPr>
              <w:t>决定，</w:t>
            </w:r>
            <w:r>
              <w:rPr>
                <w:rFonts w:ascii="宋体" w:hAnsi="宋体" w:cs="宋体"/>
                <w:sz w:val="24"/>
                <w:szCs w:val="24"/>
              </w:rPr>
              <w:t>4.</w:t>
            </w:r>
            <w:r>
              <w:rPr>
                <w:rFonts w:hint="eastAsia" w:ascii="宋体" w:hAnsi="宋体" w:cs="宋体"/>
                <w:sz w:val="24"/>
                <w:szCs w:val="24"/>
              </w:rPr>
              <w:t>送达，</w:t>
            </w:r>
            <w:r>
              <w:rPr>
                <w:rFonts w:ascii="宋体" w:hAnsi="宋体" w:cs="宋体"/>
                <w:sz w:val="24"/>
                <w:szCs w:val="24"/>
              </w:rPr>
              <w:t>5.</w:t>
            </w:r>
            <w:r>
              <w:rPr>
                <w:rFonts w:hint="eastAsia" w:ascii="宋体" w:hAnsi="宋体" w:cs="宋体"/>
                <w:sz w:val="24"/>
                <w:szCs w:val="24"/>
              </w:rPr>
              <w:t>事后监管</w:t>
            </w:r>
          </w:p>
        </w:tc>
        <w:tc>
          <w:tcPr>
            <w:tcW w:w="3921" w:type="dxa"/>
          </w:tcPr>
          <w:p w14:paraId="364897E0">
            <w:pPr>
              <w:widowControl/>
              <w:jc w:val="left"/>
              <w:rPr>
                <w:sz w:val="24"/>
                <w:szCs w:val="24"/>
              </w:rPr>
            </w:pPr>
            <w:r>
              <w:rPr>
                <w:sz w:val="24"/>
                <w:szCs w:val="24"/>
              </w:rPr>
              <w:t>1.</w:t>
            </w:r>
            <w:r>
              <w:rPr>
                <w:rFonts w:hint="eastAsia" w:ascii="仿宋_GB2312" w:hAnsi="仿宋_GB2312" w:eastAsia="仿宋_GB2312" w:cs="仿宋_GB2312"/>
                <w:color w:val="000000"/>
                <w:kern w:val="0"/>
                <w:sz w:val="24"/>
                <w:szCs w:val="24"/>
              </w:rPr>
              <w:t>工作人员通过窗口或河南政务服务网接收申报材</w:t>
            </w:r>
            <w:r>
              <w:rPr>
                <w:rFonts w:ascii="仿宋_GB2312" w:hAnsi="仿宋_GB2312" w:eastAsia="仿宋_GB2312" w:cs="仿宋_GB2312"/>
                <w:color w:val="000000"/>
                <w:kern w:val="0"/>
                <w:sz w:val="24"/>
                <w:szCs w:val="24"/>
              </w:rPr>
              <w:t xml:space="preserve"> </w:t>
            </w:r>
          </w:p>
          <w:p w14:paraId="3D19C2CF">
            <w:pPr>
              <w:widowControl/>
              <w:jc w:val="left"/>
              <w:rPr>
                <w:sz w:val="24"/>
                <w:szCs w:val="24"/>
              </w:rPr>
            </w:pPr>
            <w:r>
              <w:rPr>
                <w:rFonts w:hint="eastAsia" w:ascii="仿宋_GB2312" w:hAnsi="仿宋_GB2312" w:eastAsia="仿宋_GB2312" w:cs="仿宋_GB2312"/>
                <w:color w:val="000000"/>
                <w:kern w:val="0"/>
                <w:sz w:val="24"/>
                <w:szCs w:val="24"/>
              </w:rPr>
              <w:t>料，所交材料不齐全或不符合法定要求的，签发《一</w:t>
            </w:r>
            <w:r>
              <w:rPr>
                <w:rFonts w:ascii="仿宋_GB2312" w:hAnsi="仿宋_GB2312" w:eastAsia="仿宋_GB2312" w:cs="仿宋_GB2312"/>
                <w:color w:val="000000"/>
                <w:kern w:val="0"/>
                <w:sz w:val="24"/>
                <w:szCs w:val="24"/>
              </w:rPr>
              <w:t xml:space="preserve"> </w:t>
            </w:r>
          </w:p>
          <w:p w14:paraId="5D7608FF">
            <w:pPr>
              <w:widowControl/>
              <w:jc w:val="left"/>
              <w:rPr>
                <w:sz w:val="24"/>
                <w:szCs w:val="24"/>
              </w:rPr>
            </w:pPr>
            <w:r>
              <w:rPr>
                <w:rFonts w:hint="eastAsia" w:ascii="仿宋_GB2312" w:hAnsi="仿宋_GB2312" w:eastAsia="仿宋_GB2312" w:cs="仿宋_GB2312"/>
                <w:color w:val="000000"/>
                <w:kern w:val="0"/>
                <w:sz w:val="24"/>
                <w:szCs w:val="24"/>
              </w:rPr>
              <w:t>次性告知书》。如所交材料存在可以当场更正的错</w:t>
            </w:r>
            <w:r>
              <w:rPr>
                <w:rFonts w:ascii="仿宋_GB2312" w:hAnsi="仿宋_GB2312" w:eastAsia="仿宋_GB2312" w:cs="仿宋_GB2312"/>
                <w:color w:val="000000"/>
                <w:kern w:val="0"/>
                <w:sz w:val="24"/>
                <w:szCs w:val="24"/>
              </w:rPr>
              <w:t xml:space="preserve"> </w:t>
            </w:r>
          </w:p>
          <w:p w14:paraId="454F0B61">
            <w:pPr>
              <w:widowControl/>
              <w:jc w:val="left"/>
              <w:rPr>
                <w:sz w:val="24"/>
                <w:szCs w:val="24"/>
              </w:rPr>
            </w:pPr>
            <w:r>
              <w:rPr>
                <w:rFonts w:hint="eastAsia" w:ascii="仿宋_GB2312" w:hAnsi="仿宋_GB2312" w:eastAsia="仿宋_GB2312" w:cs="仿宋_GB2312"/>
                <w:color w:val="000000"/>
                <w:kern w:val="0"/>
                <w:sz w:val="24"/>
                <w:szCs w:val="24"/>
              </w:rPr>
              <w:t>误，申请人可当场更正。如所交材料齐全，应当场</w:t>
            </w:r>
            <w:r>
              <w:rPr>
                <w:rFonts w:ascii="仿宋_GB2312" w:hAnsi="仿宋_GB2312" w:eastAsia="仿宋_GB2312" w:cs="仿宋_GB2312"/>
                <w:color w:val="000000"/>
                <w:kern w:val="0"/>
                <w:sz w:val="24"/>
                <w:szCs w:val="24"/>
              </w:rPr>
              <w:t xml:space="preserve"> </w:t>
            </w:r>
          </w:p>
          <w:p w14:paraId="145512CA">
            <w:pPr>
              <w:widowControl/>
              <w:jc w:val="left"/>
              <w:rPr>
                <w:sz w:val="24"/>
                <w:szCs w:val="24"/>
              </w:rPr>
            </w:pPr>
            <w:r>
              <w:rPr>
                <w:rFonts w:hint="eastAsia" w:ascii="仿宋_GB2312" w:hAnsi="仿宋_GB2312" w:eastAsia="仿宋_GB2312" w:cs="仿宋_GB2312"/>
                <w:color w:val="000000"/>
                <w:kern w:val="0"/>
                <w:sz w:val="24"/>
                <w:szCs w:val="24"/>
              </w:rPr>
              <w:t>作出是否受理决定，并签发《受理通知书》或《不</w:t>
            </w:r>
            <w:r>
              <w:rPr>
                <w:rFonts w:ascii="仿宋_GB2312" w:hAnsi="仿宋_GB2312" w:eastAsia="仿宋_GB2312" w:cs="仿宋_GB2312"/>
                <w:color w:val="000000"/>
                <w:kern w:val="0"/>
                <w:sz w:val="24"/>
                <w:szCs w:val="24"/>
              </w:rPr>
              <w:t xml:space="preserve"> </w:t>
            </w:r>
          </w:p>
          <w:p w14:paraId="7FAE3293">
            <w:pPr>
              <w:widowControl/>
              <w:jc w:val="left"/>
              <w:rPr>
                <w:sz w:val="24"/>
                <w:szCs w:val="24"/>
              </w:rPr>
            </w:pPr>
            <w:r>
              <w:rPr>
                <w:rFonts w:hint="eastAsia" w:ascii="仿宋_GB2312" w:hAnsi="仿宋_GB2312" w:eastAsia="仿宋_GB2312" w:cs="仿宋_GB2312"/>
                <w:color w:val="000000"/>
                <w:kern w:val="0"/>
                <w:sz w:val="24"/>
                <w:szCs w:val="24"/>
              </w:rPr>
              <w:t>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办理；在受理申报材料后，对内容进行审查，计算应建人</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防工程面积或应缴人防易地建设费金额。如有必</w:t>
            </w:r>
            <w:r>
              <w:rPr>
                <w:rFonts w:ascii="仿宋_GB2312" w:hAnsi="仿宋_GB2312" w:eastAsia="仿宋_GB2312" w:cs="仿宋_GB2312"/>
                <w:color w:val="000000"/>
                <w:kern w:val="0"/>
                <w:sz w:val="24"/>
                <w:szCs w:val="24"/>
              </w:rPr>
              <w:t xml:space="preserve"> </w:t>
            </w:r>
          </w:p>
          <w:p w14:paraId="43B32063">
            <w:pPr>
              <w:widowControl/>
              <w:jc w:val="left"/>
              <w:rPr>
                <w:sz w:val="24"/>
                <w:szCs w:val="24"/>
              </w:rPr>
            </w:pPr>
            <w:r>
              <w:rPr>
                <w:rFonts w:hint="eastAsia" w:ascii="仿宋_GB2312" w:hAnsi="仿宋_GB2312" w:eastAsia="仿宋_GB2312" w:cs="仿宋_GB2312"/>
                <w:color w:val="000000"/>
                <w:kern w:val="0"/>
                <w:sz w:val="24"/>
                <w:szCs w:val="24"/>
              </w:rPr>
              <w:t>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审核决定；作出是否同意申请事项的决定。作出准予审批（办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理）决定的，签发审批办理结果；作出不予审批（办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理）决定的，签发《不予审批（办理）告知单》。</w:t>
            </w:r>
          </w:p>
          <w:p w14:paraId="21629B52">
            <w:pPr>
              <w:widowControl/>
              <w:jc w:val="left"/>
              <w:rPr>
                <w:sz w:val="24"/>
                <w:szCs w:val="24"/>
              </w:rPr>
            </w:pPr>
            <w:r>
              <w:rPr>
                <w:sz w:val="24"/>
                <w:szCs w:val="24"/>
              </w:rPr>
              <w:t>4.</w:t>
            </w:r>
            <w:r>
              <w:rPr>
                <w:rFonts w:hint="eastAsia" w:cs="宋体"/>
                <w:sz w:val="24"/>
                <w:szCs w:val="24"/>
              </w:rPr>
              <w:t>送达；</w:t>
            </w:r>
            <w:r>
              <w:rPr>
                <w:rFonts w:hint="eastAsia" w:ascii="仿宋_GB2312" w:hAnsi="仿宋_GB2312" w:eastAsia="仿宋_GB2312" w:cs="仿宋_GB2312"/>
                <w:color w:val="000000"/>
                <w:kern w:val="0"/>
                <w:sz w:val="24"/>
                <w:szCs w:val="24"/>
              </w:rPr>
              <w:t>实施机关作出决定当日应通知申请人，及时向申请</w:t>
            </w:r>
            <w:r>
              <w:rPr>
                <w:rFonts w:ascii="仿宋_GB2312" w:hAnsi="仿宋_GB2312" w:eastAsia="仿宋_GB2312" w:cs="仿宋_GB2312"/>
                <w:color w:val="000000"/>
                <w:kern w:val="0"/>
                <w:sz w:val="24"/>
                <w:szCs w:val="24"/>
              </w:rPr>
              <w:t xml:space="preserve"> </w:t>
            </w:r>
          </w:p>
          <w:p w14:paraId="31A74268">
            <w:pPr>
              <w:widowControl/>
              <w:jc w:val="left"/>
              <w:rPr>
                <w:sz w:val="24"/>
                <w:szCs w:val="24"/>
              </w:rPr>
            </w:pPr>
            <w:r>
              <w:rPr>
                <w:rFonts w:hint="eastAsia" w:ascii="仿宋_GB2312" w:hAnsi="仿宋_GB2312" w:eastAsia="仿宋_GB2312" w:cs="仿宋_GB2312"/>
                <w:color w:val="000000"/>
                <w:kern w:val="0"/>
                <w:sz w:val="24"/>
                <w:szCs w:val="24"/>
              </w:rPr>
              <w:t>人颁发、送达审批服务事项办理结果。</w:t>
            </w: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事后监管；按照规定监督检查工程建设质量。其他法律法规规章文件规定应履行的责任。</w:t>
            </w:r>
          </w:p>
          <w:p w14:paraId="6EE2D65C">
            <w:pPr>
              <w:jc w:val="left"/>
              <w:rPr>
                <w:rFonts w:ascii="Arial"/>
              </w:rPr>
            </w:pPr>
          </w:p>
        </w:tc>
        <w:tc>
          <w:tcPr>
            <w:tcW w:w="1513" w:type="dxa"/>
          </w:tcPr>
          <w:p w14:paraId="4F615E06">
            <w:pPr>
              <w:jc w:val="left"/>
              <w:rPr>
                <w:rFonts w:ascii="Arial"/>
              </w:rPr>
            </w:pPr>
          </w:p>
        </w:tc>
        <w:tc>
          <w:tcPr>
            <w:tcW w:w="1226" w:type="dxa"/>
          </w:tcPr>
          <w:p w14:paraId="14A84E4B">
            <w:pPr>
              <w:jc w:val="left"/>
              <w:rPr>
                <w:sz w:val="28"/>
                <w:szCs w:val="28"/>
              </w:rPr>
            </w:pPr>
          </w:p>
          <w:p w14:paraId="687A3C2E">
            <w:pPr>
              <w:jc w:val="left"/>
              <w:rPr>
                <w:sz w:val="28"/>
                <w:szCs w:val="28"/>
              </w:rPr>
            </w:pPr>
          </w:p>
          <w:p w14:paraId="1BB3668C">
            <w:pPr>
              <w:jc w:val="left"/>
              <w:rPr>
                <w:sz w:val="28"/>
                <w:szCs w:val="28"/>
              </w:rPr>
            </w:pPr>
          </w:p>
          <w:p w14:paraId="70965657">
            <w:pPr>
              <w:jc w:val="left"/>
              <w:rPr>
                <w:sz w:val="28"/>
                <w:szCs w:val="28"/>
              </w:rPr>
            </w:pPr>
          </w:p>
          <w:p w14:paraId="5EFDD1CA">
            <w:pPr>
              <w:jc w:val="left"/>
              <w:rPr>
                <w:sz w:val="28"/>
                <w:szCs w:val="28"/>
              </w:rPr>
            </w:pPr>
          </w:p>
          <w:p w14:paraId="647C2E5E">
            <w:pPr>
              <w:jc w:val="left"/>
              <w:rPr>
                <w:sz w:val="28"/>
                <w:szCs w:val="28"/>
              </w:rPr>
            </w:pPr>
            <w:r>
              <w:rPr>
                <w:rFonts w:hint="eastAsia" w:cs="宋体"/>
                <w:sz w:val="28"/>
                <w:szCs w:val="28"/>
              </w:rPr>
              <w:t>人防中心</w:t>
            </w:r>
          </w:p>
          <w:p w14:paraId="57B0EF6B">
            <w:pPr>
              <w:jc w:val="left"/>
              <w:rPr>
                <w:rFonts w:ascii="Arial"/>
              </w:rPr>
            </w:pPr>
            <w:r>
              <w:rPr>
                <w:rFonts w:hint="eastAsia" w:cs="宋体"/>
                <w:sz w:val="28"/>
                <w:szCs w:val="28"/>
              </w:rPr>
              <w:t>工程股</w:t>
            </w:r>
          </w:p>
        </w:tc>
      </w:tr>
      <w:tr w14:paraId="14F3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79" w:type="dxa"/>
            <w:gridSpan w:val="8"/>
          </w:tcPr>
          <w:p w14:paraId="0190C722">
            <w:pPr>
              <w:spacing w:line="248" w:lineRule="auto"/>
              <w:rPr>
                <w:rFonts w:ascii="Arial"/>
              </w:rPr>
            </w:pPr>
          </w:p>
          <w:p w14:paraId="1C585425">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0918B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0" w:hRule="atLeast"/>
        </w:trPr>
        <w:tc>
          <w:tcPr>
            <w:tcW w:w="15479" w:type="dxa"/>
            <w:gridSpan w:val="8"/>
          </w:tcPr>
          <w:p w14:paraId="26C11FFE">
            <w:pPr>
              <w:spacing w:line="262" w:lineRule="auto"/>
              <w:rPr>
                <w:rFonts w:ascii="Arial"/>
              </w:rPr>
            </w:pPr>
          </w:p>
          <w:p w14:paraId="105D1B61">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149B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03" w:type="dxa"/>
          </w:tcPr>
          <w:p w14:paraId="48E3728C">
            <w:pPr>
              <w:spacing w:before="202" w:line="221" w:lineRule="auto"/>
              <w:ind w:left="328"/>
              <w:rPr>
                <w:rFonts w:ascii="宋体"/>
                <w:sz w:val="24"/>
                <w:szCs w:val="24"/>
              </w:rPr>
            </w:pPr>
            <w:r>
              <w:rPr>
                <w:rFonts w:hint="eastAsia" w:ascii="宋体" w:hAnsi="宋体" w:cs="宋体"/>
                <w:b/>
                <w:bCs/>
                <w:spacing w:val="-5"/>
                <w:sz w:val="24"/>
                <w:szCs w:val="24"/>
              </w:rPr>
              <w:t>序号</w:t>
            </w:r>
          </w:p>
        </w:tc>
        <w:tc>
          <w:tcPr>
            <w:tcW w:w="2612" w:type="dxa"/>
          </w:tcPr>
          <w:p w14:paraId="53D208E4">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738" w:type="dxa"/>
          </w:tcPr>
          <w:p w14:paraId="47F06911">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7" w:type="dxa"/>
          </w:tcPr>
          <w:p w14:paraId="5219B092">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438E2CA2">
            <w:pPr>
              <w:spacing w:before="1" w:line="209" w:lineRule="auto"/>
              <w:ind w:left="287"/>
              <w:rPr>
                <w:rFonts w:ascii="宋体"/>
                <w:sz w:val="24"/>
                <w:szCs w:val="24"/>
              </w:rPr>
            </w:pPr>
            <w:r>
              <w:rPr>
                <w:rFonts w:hint="eastAsia" w:ascii="宋体" w:hAnsi="宋体" w:cs="宋体"/>
                <w:b/>
                <w:bCs/>
                <w:spacing w:val="3"/>
                <w:sz w:val="24"/>
                <w:szCs w:val="24"/>
              </w:rPr>
              <w:t>类别</w:t>
            </w:r>
          </w:p>
        </w:tc>
        <w:tc>
          <w:tcPr>
            <w:tcW w:w="929" w:type="dxa"/>
          </w:tcPr>
          <w:p w14:paraId="1A67D0B2">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921" w:type="dxa"/>
          </w:tcPr>
          <w:p w14:paraId="64EA18C0">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513" w:type="dxa"/>
          </w:tcPr>
          <w:p w14:paraId="0FD69325">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226" w:type="dxa"/>
          </w:tcPr>
          <w:p w14:paraId="61415E6E">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3C81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3" w:hRule="atLeast"/>
        </w:trPr>
        <w:tc>
          <w:tcPr>
            <w:tcW w:w="603" w:type="dxa"/>
          </w:tcPr>
          <w:p w14:paraId="4B51B3B2">
            <w:pPr>
              <w:spacing w:line="260" w:lineRule="auto"/>
              <w:rPr>
                <w:rFonts w:ascii="Arial"/>
              </w:rPr>
            </w:pPr>
          </w:p>
          <w:p w14:paraId="6D286D6D">
            <w:pPr>
              <w:spacing w:line="260" w:lineRule="auto"/>
              <w:rPr>
                <w:rFonts w:ascii="Arial"/>
              </w:rPr>
            </w:pPr>
          </w:p>
          <w:p w14:paraId="168370CA">
            <w:pPr>
              <w:spacing w:line="260" w:lineRule="auto"/>
              <w:rPr>
                <w:rFonts w:ascii="Arial"/>
              </w:rPr>
            </w:pPr>
          </w:p>
          <w:p w14:paraId="71685E50">
            <w:pPr>
              <w:spacing w:line="260" w:lineRule="auto"/>
              <w:rPr>
                <w:rFonts w:ascii="Arial"/>
              </w:rPr>
            </w:pPr>
          </w:p>
          <w:p w14:paraId="1B2EC3B0">
            <w:pPr>
              <w:spacing w:line="260" w:lineRule="auto"/>
              <w:rPr>
                <w:rFonts w:ascii="Arial"/>
              </w:rPr>
            </w:pPr>
          </w:p>
          <w:p w14:paraId="1B587F43">
            <w:pPr>
              <w:spacing w:line="261" w:lineRule="auto"/>
              <w:rPr>
                <w:rFonts w:ascii="Arial"/>
              </w:rPr>
            </w:pPr>
          </w:p>
          <w:p w14:paraId="4DCFD560">
            <w:pPr>
              <w:spacing w:line="261" w:lineRule="auto"/>
              <w:rPr>
                <w:rFonts w:ascii="Arial"/>
              </w:rPr>
            </w:pPr>
          </w:p>
          <w:p w14:paraId="4EBC6776">
            <w:pPr>
              <w:spacing w:before="78" w:line="184" w:lineRule="auto"/>
              <w:ind w:firstLine="240" w:firstLineChars="100"/>
              <w:rPr>
                <w:rFonts w:ascii="宋体"/>
                <w:sz w:val="24"/>
                <w:szCs w:val="24"/>
              </w:rPr>
            </w:pPr>
            <w:r>
              <w:rPr>
                <w:rFonts w:ascii="宋体" w:hAnsi="宋体" w:cs="宋体"/>
                <w:sz w:val="24"/>
                <w:szCs w:val="24"/>
              </w:rPr>
              <w:t>4</w:t>
            </w:r>
          </w:p>
        </w:tc>
        <w:tc>
          <w:tcPr>
            <w:tcW w:w="2612" w:type="dxa"/>
          </w:tcPr>
          <w:p w14:paraId="1C3B2AC1">
            <w:pPr>
              <w:rPr>
                <w:rFonts w:ascii="仿宋_GB2312" w:hAnsi="宋体" w:eastAsia="仿宋_GB2312"/>
                <w:color w:val="000000"/>
                <w:kern w:val="0"/>
                <w:sz w:val="24"/>
                <w:szCs w:val="24"/>
              </w:rPr>
            </w:pPr>
          </w:p>
          <w:p w14:paraId="5FBBA158">
            <w:pPr>
              <w:rPr>
                <w:rFonts w:ascii="仿宋_GB2312" w:hAnsi="宋体" w:eastAsia="仿宋_GB2312"/>
                <w:color w:val="000000"/>
                <w:kern w:val="0"/>
                <w:sz w:val="24"/>
                <w:szCs w:val="24"/>
              </w:rPr>
            </w:pPr>
          </w:p>
          <w:p w14:paraId="786F9E1A">
            <w:pPr>
              <w:rPr>
                <w:rFonts w:ascii="仿宋_GB2312" w:hAnsi="宋体" w:eastAsia="仿宋_GB2312"/>
                <w:color w:val="000000"/>
                <w:kern w:val="0"/>
                <w:sz w:val="24"/>
                <w:szCs w:val="24"/>
              </w:rPr>
            </w:pPr>
          </w:p>
          <w:p w14:paraId="51FF5BF2">
            <w:pPr>
              <w:rPr>
                <w:rFonts w:ascii="仿宋_GB2312" w:hAnsi="宋体" w:eastAsia="仿宋_GB2312"/>
                <w:color w:val="000000"/>
                <w:kern w:val="0"/>
                <w:sz w:val="24"/>
                <w:szCs w:val="24"/>
              </w:rPr>
            </w:pPr>
          </w:p>
          <w:p w14:paraId="41F59BA4">
            <w:pPr>
              <w:rPr>
                <w:rFonts w:ascii="Arial"/>
              </w:rPr>
            </w:pPr>
            <w:r>
              <w:rPr>
                <w:rFonts w:hint="eastAsia" w:ascii="仿宋_GB2312" w:hAnsi="宋体" w:eastAsia="仿宋_GB2312" w:cs="仿宋_GB2312"/>
                <w:color w:val="000000"/>
                <w:kern w:val="0"/>
                <w:sz w:val="24"/>
                <w:szCs w:val="24"/>
              </w:rPr>
              <w:t>单独修建的人民防空工程报建审批（子项：</w:t>
            </w: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）单独修建的人民防空工程项目建议书审批（政府投资项目）。</w:t>
            </w: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）单独修建的人民防空工程项目可行性研究报告审批（政府投资项目）。</w:t>
            </w:r>
            <w:r>
              <w:rPr>
                <w:rFonts w:ascii="仿宋_GB2312" w:hAnsi="宋体" w:eastAsia="仿宋_GB2312" w:cs="仿宋_GB2312"/>
                <w:color w:val="000000"/>
                <w:kern w:val="0"/>
                <w:sz w:val="24"/>
                <w:szCs w:val="24"/>
              </w:rPr>
              <w:t>3</w:t>
            </w:r>
            <w:r>
              <w:rPr>
                <w:rFonts w:hint="eastAsia" w:ascii="仿宋_GB2312" w:hAnsi="宋体" w:eastAsia="仿宋_GB2312" w:cs="仿宋_GB2312"/>
                <w:color w:val="000000"/>
                <w:kern w:val="0"/>
                <w:sz w:val="24"/>
                <w:szCs w:val="24"/>
              </w:rPr>
              <w:t>）单独修建的人民防空工程项目初步设计文件审批（政府投资项目）。</w:t>
            </w: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）单独修建的人民防空工程项目开工报告审批）</w:t>
            </w:r>
          </w:p>
        </w:tc>
        <w:tc>
          <w:tcPr>
            <w:tcW w:w="3738" w:type="dxa"/>
          </w:tcPr>
          <w:p w14:paraId="4257255F">
            <w:pPr>
              <w:rPr>
                <w:rFonts w:ascii="Arial"/>
              </w:rPr>
            </w:pPr>
            <w:r>
              <w:rPr>
                <w:rFonts w:ascii="仿宋" w:hAnsi="仿宋" w:eastAsia="仿宋" w:cs="仿宋"/>
                <w:color w:val="000000"/>
                <w:kern w:val="0"/>
                <w:sz w:val="18"/>
                <w:szCs w:val="18"/>
              </w:rPr>
              <w:t>1.</w:t>
            </w:r>
            <w:r>
              <w:rPr>
                <w:rFonts w:hint="eastAsia" w:ascii="仿宋" w:hAnsi="仿宋" w:eastAsia="仿宋" w:cs="仿宋"/>
                <w:color w:val="000000"/>
                <w:kern w:val="0"/>
                <w:sz w:val="18"/>
                <w:szCs w:val="18"/>
              </w:rPr>
              <w:t>《中华人民共和国人民防空法》（</w:t>
            </w:r>
            <w:r>
              <w:rPr>
                <w:rFonts w:ascii="仿宋" w:hAnsi="仿宋" w:eastAsia="仿宋" w:cs="仿宋"/>
                <w:color w:val="000000"/>
                <w:kern w:val="0"/>
                <w:sz w:val="18"/>
                <w:szCs w:val="18"/>
              </w:rPr>
              <w:t>1.1996</w:t>
            </w:r>
            <w:r>
              <w:rPr>
                <w:rFonts w:hint="eastAsia" w:ascii="仿宋" w:hAnsi="仿宋" w:eastAsia="仿宋" w:cs="仿宋"/>
                <w:color w:val="000000"/>
                <w:kern w:val="0"/>
                <w:sz w:val="18"/>
                <w:szCs w:val="18"/>
              </w:rPr>
              <w:t>年</w:t>
            </w:r>
            <w:r>
              <w:rPr>
                <w:rFonts w:ascii="仿宋" w:hAnsi="仿宋" w:eastAsia="仿宋" w:cs="仿宋"/>
                <w:color w:val="000000"/>
                <w:kern w:val="0"/>
                <w:sz w:val="18"/>
                <w:szCs w:val="18"/>
              </w:rPr>
              <w:t>10</w:t>
            </w:r>
            <w:r>
              <w:rPr>
                <w:rFonts w:hint="eastAsia" w:ascii="仿宋" w:hAnsi="仿宋" w:eastAsia="仿宋" w:cs="仿宋"/>
                <w:color w:val="000000"/>
                <w:kern w:val="0"/>
                <w:sz w:val="18"/>
                <w:szCs w:val="18"/>
              </w:rPr>
              <w:t>月</w:t>
            </w:r>
            <w:r>
              <w:rPr>
                <w:rFonts w:ascii="仿宋" w:hAnsi="仿宋" w:eastAsia="仿宋" w:cs="仿宋"/>
                <w:color w:val="000000"/>
                <w:kern w:val="0"/>
                <w:sz w:val="18"/>
                <w:szCs w:val="18"/>
              </w:rPr>
              <w:t>29</w:t>
            </w:r>
            <w:r>
              <w:rPr>
                <w:rFonts w:hint="eastAsia" w:ascii="仿宋" w:hAnsi="仿宋" w:eastAsia="仿宋" w:cs="仿宋"/>
                <w:color w:val="000000"/>
                <w:kern w:val="0"/>
                <w:sz w:val="18"/>
                <w:szCs w:val="18"/>
              </w:rPr>
              <w:t>日</w:t>
            </w: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第八届全国人民代表大会常务委员会第二十二次会议通过</w:t>
            </w:r>
            <w:r>
              <w:rPr>
                <w:rFonts w:ascii="仿宋" w:hAnsi="仿宋" w:eastAsia="仿宋" w:cs="仿宋"/>
                <w:color w:val="000000"/>
                <w:kern w:val="0"/>
                <w:sz w:val="18"/>
                <w:szCs w:val="18"/>
              </w:rPr>
              <w:t xml:space="preserve"> 1996</w:t>
            </w:r>
            <w:r>
              <w:rPr>
                <w:rFonts w:hint="eastAsia" w:ascii="仿宋" w:hAnsi="仿宋" w:eastAsia="仿宋" w:cs="仿宋"/>
                <w:color w:val="000000"/>
                <w:kern w:val="0"/>
                <w:sz w:val="18"/>
                <w:szCs w:val="18"/>
              </w:rPr>
              <w:t>年</w:t>
            </w:r>
            <w:r>
              <w:rPr>
                <w:rFonts w:ascii="仿宋" w:hAnsi="仿宋" w:eastAsia="仿宋" w:cs="仿宋"/>
                <w:color w:val="000000"/>
                <w:kern w:val="0"/>
                <w:sz w:val="18"/>
                <w:szCs w:val="18"/>
              </w:rPr>
              <w:t>10</w:t>
            </w:r>
            <w:r>
              <w:rPr>
                <w:rFonts w:hint="eastAsia" w:ascii="仿宋" w:hAnsi="仿宋" w:eastAsia="仿宋" w:cs="仿宋"/>
                <w:color w:val="000000"/>
                <w:kern w:val="0"/>
                <w:sz w:val="18"/>
                <w:szCs w:val="18"/>
              </w:rPr>
              <w:t>月</w:t>
            </w:r>
            <w:r>
              <w:rPr>
                <w:rFonts w:ascii="仿宋" w:hAnsi="仿宋" w:eastAsia="仿宋" w:cs="仿宋"/>
                <w:color w:val="000000"/>
                <w:kern w:val="0"/>
                <w:sz w:val="18"/>
                <w:szCs w:val="18"/>
              </w:rPr>
              <w:t>29</w:t>
            </w:r>
            <w:r>
              <w:rPr>
                <w:rFonts w:hint="eastAsia" w:ascii="仿宋" w:hAnsi="仿宋" w:eastAsia="仿宋" w:cs="仿宋"/>
                <w:color w:val="000000"/>
                <w:kern w:val="0"/>
                <w:sz w:val="18"/>
                <w:szCs w:val="18"/>
              </w:rPr>
              <w:t>日中华人民共和国主席令第</w:t>
            </w:r>
            <w:r>
              <w:rPr>
                <w:rFonts w:ascii="仿宋" w:hAnsi="仿宋" w:eastAsia="仿宋" w:cs="仿宋"/>
                <w:color w:val="000000"/>
                <w:kern w:val="0"/>
                <w:sz w:val="18"/>
                <w:szCs w:val="18"/>
              </w:rPr>
              <w:t>78</w:t>
            </w:r>
            <w:r>
              <w:rPr>
                <w:rFonts w:hint="eastAsia" w:ascii="仿宋" w:hAnsi="仿宋" w:eastAsia="仿宋" w:cs="仿宋"/>
                <w:color w:val="000000"/>
                <w:kern w:val="0"/>
                <w:sz w:val="18"/>
                <w:szCs w:val="18"/>
              </w:rPr>
              <w:t>号公布</w:t>
            </w: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自</w:t>
            </w:r>
            <w:r>
              <w:rPr>
                <w:rFonts w:ascii="仿宋" w:hAnsi="仿宋" w:eastAsia="仿宋" w:cs="仿宋"/>
                <w:color w:val="000000"/>
                <w:kern w:val="0"/>
                <w:sz w:val="18"/>
                <w:szCs w:val="18"/>
              </w:rPr>
              <w:t>1997</w:t>
            </w:r>
            <w:r>
              <w:rPr>
                <w:rFonts w:hint="eastAsia" w:ascii="仿宋" w:hAnsi="仿宋" w:eastAsia="仿宋" w:cs="仿宋"/>
                <w:color w:val="000000"/>
                <w:kern w:val="0"/>
                <w:sz w:val="18"/>
                <w:szCs w:val="18"/>
              </w:rPr>
              <w:t>年</w:t>
            </w:r>
            <w:r>
              <w:rPr>
                <w:rFonts w:ascii="仿宋" w:hAnsi="仿宋" w:eastAsia="仿宋" w:cs="仿宋"/>
                <w:color w:val="000000"/>
                <w:kern w:val="0"/>
                <w:sz w:val="18"/>
                <w:szCs w:val="18"/>
              </w:rPr>
              <w:t>1</w:t>
            </w:r>
            <w:r>
              <w:rPr>
                <w:rFonts w:hint="eastAsia" w:ascii="仿宋" w:hAnsi="仿宋" w:eastAsia="仿宋" w:cs="仿宋"/>
                <w:color w:val="000000"/>
                <w:kern w:val="0"/>
                <w:sz w:val="18"/>
                <w:szCs w:val="18"/>
              </w:rPr>
              <w:t>月</w:t>
            </w:r>
            <w:r>
              <w:rPr>
                <w:rFonts w:ascii="仿宋" w:hAnsi="仿宋" w:eastAsia="仿宋" w:cs="仿宋"/>
                <w:color w:val="000000"/>
                <w:kern w:val="0"/>
                <w:sz w:val="18"/>
                <w:szCs w:val="18"/>
              </w:rPr>
              <w:t>1</w:t>
            </w:r>
            <w:r>
              <w:rPr>
                <w:rFonts w:hint="eastAsia" w:ascii="仿宋" w:hAnsi="仿宋" w:eastAsia="仿宋" w:cs="仿宋"/>
                <w:color w:val="000000"/>
                <w:kern w:val="0"/>
                <w:sz w:val="18"/>
                <w:szCs w:val="18"/>
              </w:rPr>
              <w:t>日起施行</w:t>
            </w:r>
            <w:r>
              <w:rPr>
                <w:rFonts w:ascii="仿宋" w:hAnsi="仿宋" w:eastAsia="仿宋" w:cs="仿宋"/>
                <w:color w:val="000000"/>
                <w:kern w:val="0"/>
                <w:sz w:val="18"/>
                <w:szCs w:val="18"/>
              </w:rPr>
              <w:t xml:space="preserve"> 2.</w:t>
            </w:r>
            <w:r>
              <w:rPr>
                <w:rFonts w:hint="eastAsia" w:ascii="仿宋" w:hAnsi="仿宋" w:eastAsia="仿宋" w:cs="仿宋"/>
                <w:color w:val="000000"/>
                <w:kern w:val="0"/>
                <w:sz w:val="18"/>
                <w:szCs w:val="18"/>
              </w:rPr>
              <w:t>根据</w:t>
            </w:r>
            <w:r>
              <w:rPr>
                <w:rFonts w:ascii="仿宋" w:hAnsi="仿宋" w:eastAsia="仿宋" w:cs="仿宋"/>
                <w:color w:val="000000"/>
                <w:kern w:val="0"/>
                <w:sz w:val="18"/>
                <w:szCs w:val="18"/>
              </w:rPr>
              <w:t>2009</w:t>
            </w:r>
            <w:r>
              <w:rPr>
                <w:rFonts w:hint="eastAsia" w:ascii="仿宋" w:hAnsi="仿宋" w:eastAsia="仿宋" w:cs="仿宋"/>
                <w:color w:val="000000"/>
                <w:kern w:val="0"/>
                <w:sz w:val="18"/>
                <w:szCs w:val="18"/>
              </w:rPr>
              <w:t>年</w:t>
            </w:r>
            <w:r>
              <w:rPr>
                <w:rFonts w:ascii="仿宋" w:hAnsi="仿宋" w:eastAsia="仿宋" w:cs="仿宋"/>
                <w:color w:val="000000"/>
                <w:kern w:val="0"/>
                <w:sz w:val="18"/>
                <w:szCs w:val="18"/>
              </w:rPr>
              <w:t>8</w:t>
            </w:r>
            <w:r>
              <w:rPr>
                <w:rFonts w:hint="eastAsia" w:ascii="仿宋" w:hAnsi="仿宋" w:eastAsia="仿宋" w:cs="仿宋"/>
                <w:color w:val="000000"/>
                <w:kern w:val="0"/>
                <w:sz w:val="18"/>
                <w:szCs w:val="18"/>
              </w:rPr>
              <w:t>月</w:t>
            </w:r>
            <w:r>
              <w:rPr>
                <w:rFonts w:ascii="仿宋" w:hAnsi="仿宋" w:eastAsia="仿宋" w:cs="仿宋"/>
                <w:color w:val="000000"/>
                <w:kern w:val="0"/>
                <w:sz w:val="18"/>
                <w:szCs w:val="18"/>
              </w:rPr>
              <w:t>27</w:t>
            </w:r>
            <w:r>
              <w:rPr>
                <w:rFonts w:hint="eastAsia" w:ascii="仿宋" w:hAnsi="仿宋" w:eastAsia="仿宋" w:cs="仿宋"/>
                <w:color w:val="000000"/>
                <w:kern w:val="0"/>
                <w:sz w:val="18"/>
                <w:szCs w:val="18"/>
              </w:rPr>
              <w:t>日第十一届全国人民代表大会常务委员会第十次会议《关于修改部分法律的决定》修正）第二十一条：人民防空指挥工程、公用的人员掩蔽工程和疏散干道工程由人民防空主管部门负责组织修建；医疗救护、物资储备等专用工程由其他有关部门负责组织修建。有关单位负责修建本单位的人员与物资掩蔽工程。</w:t>
            </w:r>
            <w:r>
              <w:rPr>
                <w:rFonts w:ascii="仿宋" w:hAnsi="仿宋" w:eastAsia="仿宋" w:cs="仿宋"/>
                <w:color w:val="000000"/>
                <w:kern w:val="0"/>
                <w:sz w:val="18"/>
                <w:szCs w:val="18"/>
              </w:rPr>
              <w:t xml:space="preserve">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2.</w:t>
            </w:r>
            <w:r>
              <w:rPr>
                <w:rFonts w:hint="eastAsia" w:ascii="仿宋" w:hAnsi="仿宋" w:eastAsia="仿宋" w:cs="仿宋"/>
                <w:color w:val="000000"/>
                <w:kern w:val="0"/>
                <w:sz w:val="18"/>
                <w:szCs w:val="18"/>
              </w:rPr>
              <w:t>《人民防空工程建设管理规定》（国家国防动员委员会、国家发展计划委员会、建设部、财政部</w:t>
            </w: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w:t>
            </w:r>
            <w:r>
              <w:rPr>
                <w:rFonts w:ascii="仿宋" w:hAnsi="仿宋" w:eastAsia="仿宋" w:cs="仿宋"/>
                <w:color w:val="000000"/>
                <w:kern w:val="0"/>
                <w:sz w:val="18"/>
                <w:szCs w:val="18"/>
              </w:rPr>
              <w:t>2003</w:t>
            </w:r>
            <w:r>
              <w:rPr>
                <w:rFonts w:hint="eastAsia" w:ascii="仿宋" w:hAnsi="仿宋" w:eastAsia="仿宋" w:cs="仿宋"/>
                <w:color w:val="000000"/>
                <w:kern w:val="0"/>
                <w:sz w:val="18"/>
                <w:szCs w:val="18"/>
              </w:rPr>
              <w:t>〕国人防办字第</w:t>
            </w:r>
            <w:r>
              <w:rPr>
                <w:rFonts w:ascii="仿宋" w:hAnsi="仿宋" w:eastAsia="仿宋" w:cs="仿宋"/>
                <w:color w:val="000000"/>
                <w:kern w:val="0"/>
                <w:sz w:val="18"/>
                <w:szCs w:val="18"/>
              </w:rPr>
              <w:t>18</w:t>
            </w:r>
            <w:r>
              <w:rPr>
                <w:rFonts w:hint="eastAsia" w:ascii="仿宋" w:hAnsi="仿宋" w:eastAsia="仿宋" w:cs="仿宋"/>
                <w:color w:val="000000"/>
                <w:kern w:val="0"/>
                <w:sz w:val="18"/>
                <w:szCs w:val="18"/>
              </w:rPr>
              <w:t>号</w:t>
            </w:r>
            <w:r>
              <w:rPr>
                <w:rFonts w:ascii="仿宋" w:hAnsi="仿宋" w:eastAsia="仿宋" w:cs="仿宋"/>
                <w:color w:val="000000"/>
                <w:kern w:val="0"/>
                <w:sz w:val="18"/>
                <w:szCs w:val="18"/>
              </w:rPr>
              <w:t>)</w:t>
            </w:r>
            <w:r>
              <w:rPr>
                <w:rFonts w:hint="eastAsia" w:ascii="仿宋" w:hAnsi="仿宋" w:eastAsia="仿宋" w:cs="仿宋"/>
                <w:color w:val="000000"/>
                <w:kern w:val="0"/>
                <w:sz w:val="18"/>
                <w:szCs w:val="18"/>
              </w:rPr>
              <w:t>第十八条、第十九条、第二十条、第二十一条、第二十三条：人民防空工程建设单位应当根据人民防空工程建设中长期计划，提出项目建议书。人民防空工程建设单位应当根据批准的项目建议书，委托具有相应资质的单位编制工程项目可行性研究报告。人民防空工程建设单位应当根据批准的可行性研究报告，委托具有相应资质等级的勘察设计单位编制工程初步设计文件。人民防空工程建设单位应当根据批准的初步设计文件，委托具有相应资质等级的勘察设计单位编制工程施工图设计文件。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w:t>
            </w:r>
            <w:r>
              <w:rPr>
                <w:rFonts w:ascii="仿宋" w:hAnsi="仿宋" w:eastAsia="仿宋"/>
                <w:color w:val="000000"/>
                <w:kern w:val="0"/>
                <w:sz w:val="18"/>
                <w:szCs w:val="18"/>
              </w:rPr>
              <w:br w:type="textWrapping"/>
            </w:r>
            <w:r>
              <w:rPr>
                <w:rFonts w:ascii="仿宋" w:hAnsi="仿宋" w:eastAsia="仿宋" w:cs="仿宋"/>
                <w:color w:val="000000"/>
                <w:kern w:val="0"/>
                <w:sz w:val="18"/>
                <w:szCs w:val="18"/>
              </w:rPr>
              <w:t>3.</w:t>
            </w:r>
            <w:r>
              <w:rPr>
                <w:rFonts w:hint="eastAsia" w:ascii="仿宋" w:hAnsi="仿宋" w:eastAsia="仿宋" w:cs="仿宋"/>
                <w:color w:val="000000"/>
                <w:kern w:val="0"/>
                <w:sz w:val="18"/>
                <w:szCs w:val="18"/>
              </w:rPr>
              <w:t>国家人民防空办公室《关于调整人民防空建设审批事项的通知》（国人防〔</w:t>
            </w:r>
            <w:r>
              <w:rPr>
                <w:rFonts w:ascii="仿宋" w:hAnsi="仿宋" w:eastAsia="仿宋" w:cs="仿宋"/>
                <w:color w:val="000000"/>
                <w:kern w:val="0"/>
                <w:sz w:val="18"/>
                <w:szCs w:val="18"/>
              </w:rPr>
              <w:t>2014</w:t>
            </w:r>
            <w:r>
              <w:rPr>
                <w:rFonts w:hint="eastAsia" w:ascii="仿宋" w:hAnsi="仿宋" w:eastAsia="仿宋" w:cs="仿宋"/>
                <w:color w:val="000000"/>
                <w:kern w:val="0"/>
                <w:sz w:val="18"/>
                <w:szCs w:val="18"/>
              </w:rPr>
              <w:t>〕</w:t>
            </w:r>
            <w:r>
              <w:rPr>
                <w:rFonts w:ascii="仿宋" w:hAnsi="仿宋" w:eastAsia="仿宋" w:cs="仿宋"/>
                <w:color w:val="000000"/>
                <w:kern w:val="0"/>
                <w:sz w:val="18"/>
                <w:szCs w:val="18"/>
              </w:rPr>
              <w:t>235</w:t>
            </w:r>
            <w:r>
              <w:rPr>
                <w:rFonts w:hint="eastAsia" w:ascii="仿宋" w:hAnsi="仿宋" w:eastAsia="仿宋" w:cs="仿宋"/>
                <w:color w:val="000000"/>
                <w:kern w:val="0"/>
                <w:sz w:val="18"/>
                <w:szCs w:val="18"/>
              </w:rPr>
              <w:t>号</w:t>
            </w:r>
            <w:r>
              <w:rPr>
                <w:rFonts w:ascii="仿宋" w:hAnsi="仿宋" w:eastAsia="仿宋" w:cs="仿宋"/>
                <w:color w:val="000000"/>
                <w:kern w:val="0"/>
                <w:sz w:val="18"/>
                <w:szCs w:val="18"/>
              </w:rPr>
              <w:t>)</w:t>
            </w:r>
            <w:r>
              <w:rPr>
                <w:rFonts w:hint="eastAsia" w:ascii="仿宋" w:hAnsi="仿宋" w:eastAsia="仿宋" w:cs="仿宋"/>
                <w:color w:val="000000"/>
                <w:kern w:val="0"/>
                <w:sz w:val="18"/>
                <w:szCs w:val="18"/>
              </w:rPr>
              <w:t>第二部分、第（二）：人防工程项目审批。调整为：省级、国家人防重点城市人防指挥工程和建筑面积</w:t>
            </w:r>
            <w:r>
              <w:rPr>
                <w:rFonts w:ascii="仿宋" w:hAnsi="仿宋" w:eastAsia="仿宋" w:cs="仿宋"/>
                <w:color w:val="000000"/>
                <w:kern w:val="0"/>
                <w:sz w:val="18"/>
                <w:szCs w:val="18"/>
              </w:rPr>
              <w:t>5</w:t>
            </w:r>
            <w:r>
              <w:rPr>
                <w:rFonts w:hint="eastAsia" w:ascii="仿宋" w:hAnsi="仿宋" w:eastAsia="仿宋" w:cs="仿宋"/>
                <w:color w:val="000000"/>
                <w:kern w:val="0"/>
                <w:sz w:val="18"/>
                <w:szCs w:val="18"/>
              </w:rPr>
              <w:t>万平方米（含）以上的其他人防工程、疏散基地和教育训练基地，由国家人防办审批。上述以外的人防工程、疏散基地和教育训练基地是否审批和审批权限由省级人防办确定。</w:t>
            </w:r>
          </w:p>
        </w:tc>
        <w:tc>
          <w:tcPr>
            <w:tcW w:w="937" w:type="dxa"/>
          </w:tcPr>
          <w:p w14:paraId="12173A91">
            <w:pPr>
              <w:rPr>
                <w:rFonts w:ascii="仿宋" w:hAnsi="仿宋" w:eastAsia="仿宋"/>
                <w:color w:val="000000"/>
                <w:kern w:val="0"/>
                <w:sz w:val="30"/>
                <w:szCs w:val="30"/>
              </w:rPr>
            </w:pPr>
          </w:p>
          <w:p w14:paraId="28D26D86">
            <w:pPr>
              <w:rPr>
                <w:rFonts w:ascii="仿宋" w:hAnsi="仿宋" w:eastAsia="仿宋"/>
                <w:color w:val="000000"/>
                <w:kern w:val="0"/>
                <w:sz w:val="30"/>
                <w:szCs w:val="30"/>
              </w:rPr>
            </w:pPr>
          </w:p>
          <w:p w14:paraId="45A9BB21">
            <w:pPr>
              <w:rPr>
                <w:rFonts w:ascii="仿宋" w:hAnsi="仿宋" w:eastAsia="仿宋"/>
                <w:color w:val="000000"/>
                <w:kern w:val="0"/>
                <w:sz w:val="30"/>
                <w:szCs w:val="30"/>
              </w:rPr>
            </w:pPr>
          </w:p>
          <w:p w14:paraId="4B2B6F9D">
            <w:pPr>
              <w:rPr>
                <w:rFonts w:ascii="Arial"/>
              </w:rPr>
            </w:pPr>
            <w:r>
              <w:rPr>
                <w:rFonts w:hint="eastAsia" w:ascii="仿宋" w:hAnsi="仿宋" w:eastAsia="仿宋" w:cs="仿宋"/>
                <w:color w:val="000000"/>
                <w:kern w:val="0"/>
                <w:sz w:val="30"/>
                <w:szCs w:val="30"/>
              </w:rPr>
              <w:t>行政许可</w:t>
            </w:r>
          </w:p>
        </w:tc>
        <w:tc>
          <w:tcPr>
            <w:tcW w:w="929" w:type="dxa"/>
          </w:tcPr>
          <w:p w14:paraId="0018ED05">
            <w:pPr>
              <w:rPr>
                <w:rFonts w:ascii="宋体"/>
                <w:sz w:val="30"/>
                <w:szCs w:val="30"/>
              </w:rPr>
            </w:pPr>
          </w:p>
          <w:p w14:paraId="0FB776A7">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921" w:type="dxa"/>
          </w:tcPr>
          <w:p w14:paraId="09D5558F">
            <w:pPr>
              <w:widowControl/>
              <w:jc w:val="left"/>
            </w:pPr>
            <w:r>
              <w:t>1.</w:t>
            </w:r>
            <w:r>
              <w:rPr>
                <w:rFonts w:hint="eastAsia" w:cs="宋体"/>
              </w:rPr>
              <w:t>受理；</w:t>
            </w:r>
            <w:r>
              <w:rPr>
                <w:rFonts w:hint="eastAsia" w:ascii="仿宋_GB2312" w:hAnsi="仿宋_GB2312" w:eastAsia="仿宋_GB2312" w:cs="仿宋_GB2312"/>
                <w:color w:val="000000"/>
                <w:kern w:val="0"/>
                <w:sz w:val="19"/>
                <w:szCs w:val="19"/>
              </w:rPr>
              <w:t>工作人员通过窗口或河南政务服务网接收申报材</w:t>
            </w:r>
            <w:r>
              <w:rPr>
                <w:rFonts w:ascii="仿宋_GB2312" w:hAnsi="仿宋_GB2312" w:eastAsia="仿宋_GB2312" w:cs="仿宋_GB2312"/>
                <w:color w:val="000000"/>
                <w:kern w:val="0"/>
                <w:sz w:val="19"/>
                <w:szCs w:val="19"/>
              </w:rPr>
              <w:t xml:space="preserve"> </w:t>
            </w:r>
          </w:p>
          <w:p w14:paraId="7427BEA1">
            <w:pPr>
              <w:widowControl/>
              <w:jc w:val="left"/>
            </w:pPr>
            <w:r>
              <w:rPr>
                <w:rFonts w:hint="eastAsia" w:ascii="仿宋_GB2312" w:hAnsi="仿宋_GB2312" w:eastAsia="仿宋_GB2312" w:cs="仿宋_GB2312"/>
                <w:color w:val="000000"/>
                <w:kern w:val="0"/>
                <w:sz w:val="19"/>
                <w:szCs w:val="19"/>
              </w:rPr>
              <w:t>料，所交材料不齐全或不符合法定要求的，签发《一</w:t>
            </w:r>
            <w:r>
              <w:rPr>
                <w:rFonts w:ascii="仿宋_GB2312" w:hAnsi="仿宋_GB2312" w:eastAsia="仿宋_GB2312" w:cs="仿宋_GB2312"/>
                <w:color w:val="000000"/>
                <w:kern w:val="0"/>
                <w:sz w:val="19"/>
                <w:szCs w:val="19"/>
              </w:rPr>
              <w:t xml:space="preserve"> </w:t>
            </w:r>
          </w:p>
          <w:p w14:paraId="58B2217F">
            <w:pPr>
              <w:widowControl/>
              <w:jc w:val="left"/>
            </w:pPr>
            <w:r>
              <w:rPr>
                <w:rFonts w:hint="eastAsia" w:ascii="仿宋_GB2312" w:hAnsi="仿宋_GB2312" w:eastAsia="仿宋_GB2312" w:cs="仿宋_GB2312"/>
                <w:color w:val="000000"/>
                <w:kern w:val="0"/>
                <w:sz w:val="19"/>
                <w:szCs w:val="19"/>
              </w:rPr>
              <w:t>次性告知书》。如所交材料存在可以当场更正的错</w:t>
            </w:r>
            <w:r>
              <w:rPr>
                <w:rFonts w:ascii="仿宋_GB2312" w:hAnsi="仿宋_GB2312" w:eastAsia="仿宋_GB2312" w:cs="仿宋_GB2312"/>
                <w:color w:val="000000"/>
                <w:kern w:val="0"/>
                <w:sz w:val="19"/>
                <w:szCs w:val="19"/>
              </w:rPr>
              <w:t xml:space="preserve"> </w:t>
            </w:r>
          </w:p>
          <w:p w14:paraId="26809DC9">
            <w:pPr>
              <w:widowControl/>
              <w:jc w:val="left"/>
            </w:pPr>
            <w:r>
              <w:rPr>
                <w:rFonts w:hint="eastAsia" w:ascii="仿宋_GB2312" w:hAnsi="仿宋_GB2312" w:eastAsia="仿宋_GB2312" w:cs="仿宋_GB2312"/>
                <w:color w:val="000000"/>
                <w:kern w:val="0"/>
                <w:sz w:val="19"/>
                <w:szCs w:val="19"/>
              </w:rPr>
              <w:t>误，申请人可当场更正。如所交材料齐全，应当场</w:t>
            </w:r>
            <w:r>
              <w:rPr>
                <w:rFonts w:ascii="仿宋_GB2312" w:hAnsi="仿宋_GB2312" w:eastAsia="仿宋_GB2312" w:cs="仿宋_GB2312"/>
                <w:color w:val="000000"/>
                <w:kern w:val="0"/>
                <w:sz w:val="19"/>
                <w:szCs w:val="19"/>
              </w:rPr>
              <w:t xml:space="preserve"> </w:t>
            </w:r>
          </w:p>
          <w:p w14:paraId="715CE994">
            <w:pPr>
              <w:widowControl/>
              <w:jc w:val="left"/>
            </w:pPr>
            <w:r>
              <w:rPr>
                <w:rFonts w:hint="eastAsia" w:ascii="仿宋_GB2312" w:hAnsi="仿宋_GB2312" w:eastAsia="仿宋_GB2312" w:cs="仿宋_GB2312"/>
                <w:color w:val="000000"/>
                <w:kern w:val="0"/>
                <w:sz w:val="19"/>
                <w:szCs w:val="19"/>
              </w:rPr>
              <w:t>作出是否受理决定，并签发《受理通知书》或《不</w:t>
            </w:r>
            <w:r>
              <w:rPr>
                <w:rFonts w:ascii="仿宋_GB2312" w:hAnsi="仿宋_GB2312" w:eastAsia="仿宋_GB2312" w:cs="仿宋_GB2312"/>
                <w:color w:val="000000"/>
                <w:kern w:val="0"/>
                <w:sz w:val="19"/>
                <w:szCs w:val="19"/>
              </w:rPr>
              <w:t xml:space="preserve"> </w:t>
            </w:r>
          </w:p>
          <w:p w14:paraId="0CE469D5">
            <w:pPr>
              <w:widowControl/>
              <w:jc w:val="left"/>
            </w:pPr>
            <w:r>
              <w:rPr>
                <w:rFonts w:hint="eastAsia" w:ascii="仿宋_GB2312" w:hAnsi="仿宋_GB2312" w:eastAsia="仿宋_GB2312" w:cs="仿宋_GB2312"/>
                <w:color w:val="000000"/>
                <w:kern w:val="0"/>
                <w:sz w:val="19"/>
                <w:szCs w:val="19"/>
              </w:rPr>
              <w:t>予受理通知书》。</w:t>
            </w:r>
            <w:r>
              <w:rPr>
                <w:rFonts w:ascii="仿宋_GB2312" w:hAnsi="仿宋_GB2312" w:eastAsia="仿宋_GB2312" w:cs="仿宋_GB2312"/>
                <w:color w:val="000000"/>
                <w:kern w:val="0"/>
                <w:sz w:val="19"/>
                <w:szCs w:val="19"/>
              </w:rPr>
              <w:t>2.</w:t>
            </w:r>
            <w:r>
              <w:rPr>
                <w:rFonts w:hint="eastAsia" w:ascii="仿宋_GB2312" w:hAnsi="仿宋_GB2312" w:eastAsia="仿宋_GB2312" w:cs="仿宋_GB2312"/>
                <w:color w:val="000000"/>
                <w:kern w:val="0"/>
                <w:sz w:val="19"/>
                <w:szCs w:val="19"/>
              </w:rPr>
              <w:t>审核；</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在受理申报材料后，由办理科室对内容进行审查。</w:t>
            </w:r>
            <w:r>
              <w:rPr>
                <w:rFonts w:ascii="仿宋_GB2312" w:hAnsi="仿宋_GB2312" w:eastAsia="仿宋_GB2312" w:cs="仿宋_GB2312"/>
                <w:color w:val="000000"/>
                <w:kern w:val="0"/>
                <w:sz w:val="19"/>
                <w:szCs w:val="19"/>
              </w:rPr>
              <w:t xml:space="preserve"> </w:t>
            </w:r>
            <w:r>
              <w:rPr>
                <w:rFonts w:hint="eastAsia" w:ascii="仿宋_GB2312" w:hAnsi="仿宋_GB2312" w:eastAsia="仿宋_GB2312" w:cs="仿宋_GB2312"/>
                <w:color w:val="000000"/>
                <w:kern w:val="0"/>
                <w:sz w:val="19"/>
                <w:szCs w:val="19"/>
              </w:rPr>
              <w:t>如有必要，启动特殊环节进行辅助审查</w:t>
            </w:r>
            <w:r>
              <w:rPr>
                <w:rFonts w:ascii="仿宋_GB2312" w:hAnsi="仿宋_GB2312" w:eastAsia="仿宋_GB2312" w:cs="仿宋_GB2312"/>
                <w:color w:val="000000"/>
                <w:kern w:val="0"/>
                <w:sz w:val="19"/>
                <w:szCs w:val="19"/>
              </w:rPr>
              <w:t>3.</w:t>
            </w:r>
            <w:r>
              <w:rPr>
                <w:rFonts w:hint="eastAsia" w:ascii="仿宋_GB2312" w:hAnsi="仿宋_GB2312" w:eastAsia="仿宋_GB2312" w:cs="仿宋_GB2312"/>
                <w:color w:val="000000"/>
                <w:kern w:val="0"/>
                <w:sz w:val="19"/>
                <w:szCs w:val="19"/>
              </w:rPr>
              <w:t>决定；</w:t>
            </w:r>
          </w:p>
          <w:p w14:paraId="3936AB30">
            <w:pPr>
              <w:widowControl/>
              <w:jc w:val="left"/>
            </w:pPr>
            <w:r>
              <w:rPr>
                <w:rFonts w:hint="eastAsia" w:ascii="仿宋_GB2312" w:hAnsi="仿宋_GB2312" w:eastAsia="仿宋_GB2312" w:cs="仿宋_GB2312"/>
                <w:color w:val="000000"/>
                <w:kern w:val="0"/>
                <w:sz w:val="19"/>
                <w:szCs w:val="19"/>
              </w:rPr>
              <w:t>作出是否同意申请事项的决定。作出准予审批（办</w:t>
            </w:r>
            <w:r>
              <w:rPr>
                <w:rFonts w:ascii="仿宋_GB2312" w:hAnsi="仿宋_GB2312" w:eastAsia="仿宋_GB2312" w:cs="仿宋_GB2312"/>
                <w:color w:val="000000"/>
                <w:kern w:val="0"/>
                <w:sz w:val="19"/>
                <w:szCs w:val="19"/>
              </w:rPr>
              <w:t xml:space="preserve"> </w:t>
            </w:r>
          </w:p>
          <w:p w14:paraId="50821292">
            <w:pPr>
              <w:widowControl/>
              <w:jc w:val="left"/>
            </w:pPr>
            <w:r>
              <w:rPr>
                <w:rFonts w:hint="eastAsia" w:ascii="仿宋_GB2312" w:hAnsi="仿宋_GB2312" w:eastAsia="仿宋_GB2312" w:cs="仿宋_GB2312"/>
                <w:color w:val="000000"/>
                <w:kern w:val="0"/>
                <w:sz w:val="19"/>
                <w:szCs w:val="19"/>
              </w:rPr>
              <w:t>理）决定的，签发审批办理结果；作出不予审批（办</w:t>
            </w:r>
            <w:r>
              <w:rPr>
                <w:rFonts w:ascii="仿宋_GB2312" w:hAnsi="仿宋_GB2312" w:eastAsia="仿宋_GB2312" w:cs="仿宋_GB2312"/>
                <w:color w:val="000000"/>
                <w:kern w:val="0"/>
                <w:sz w:val="19"/>
                <w:szCs w:val="19"/>
              </w:rPr>
              <w:t xml:space="preserve"> </w:t>
            </w:r>
          </w:p>
          <w:p w14:paraId="2B684081">
            <w:pPr>
              <w:widowControl/>
              <w:jc w:val="left"/>
            </w:pPr>
            <w:r>
              <w:rPr>
                <w:rFonts w:hint="eastAsia" w:ascii="仿宋_GB2312" w:hAnsi="仿宋_GB2312" w:eastAsia="仿宋_GB2312" w:cs="仿宋_GB2312"/>
                <w:color w:val="000000"/>
                <w:kern w:val="0"/>
                <w:sz w:val="19"/>
                <w:szCs w:val="19"/>
              </w:rPr>
              <w:t>理）决定的，签发《不予审批（办理）告知单》。</w:t>
            </w:r>
            <w:r>
              <w:rPr>
                <w:rFonts w:ascii="仿宋_GB2312" w:hAnsi="仿宋_GB2312" w:eastAsia="仿宋_GB2312" w:cs="仿宋_GB2312"/>
                <w:color w:val="000000"/>
                <w:kern w:val="0"/>
                <w:sz w:val="19"/>
                <w:szCs w:val="19"/>
              </w:rPr>
              <w:t>4</w:t>
            </w:r>
            <w:r>
              <w:rPr>
                <w:rFonts w:hint="eastAsia" w:ascii="仿宋_GB2312" w:hAnsi="仿宋_GB2312" w:eastAsia="仿宋_GB2312" w:cs="仿宋_GB2312"/>
                <w:color w:val="000000"/>
                <w:kern w:val="0"/>
                <w:sz w:val="19"/>
                <w:szCs w:val="19"/>
              </w:rPr>
              <w:t>送达；实施机关作出决定当日应通知申请人，及时向申请</w:t>
            </w:r>
            <w:r>
              <w:rPr>
                <w:rFonts w:ascii="仿宋_GB2312" w:hAnsi="仿宋_GB2312" w:eastAsia="仿宋_GB2312" w:cs="仿宋_GB2312"/>
                <w:color w:val="000000"/>
                <w:kern w:val="0"/>
                <w:sz w:val="19"/>
                <w:szCs w:val="19"/>
              </w:rPr>
              <w:t xml:space="preserve"> </w:t>
            </w:r>
          </w:p>
          <w:p w14:paraId="5D7D317D">
            <w:pPr>
              <w:widowControl/>
              <w:jc w:val="left"/>
            </w:pPr>
            <w:r>
              <w:rPr>
                <w:rFonts w:hint="eastAsia" w:ascii="仿宋_GB2312" w:hAnsi="仿宋_GB2312" w:eastAsia="仿宋_GB2312" w:cs="仿宋_GB2312"/>
                <w:color w:val="000000"/>
                <w:kern w:val="0"/>
                <w:sz w:val="19"/>
                <w:szCs w:val="19"/>
              </w:rPr>
              <w:t>人颁发、送达审批服务事项办理结果。</w:t>
            </w:r>
            <w:r>
              <w:rPr>
                <w:rFonts w:ascii="仿宋_GB2312" w:hAnsi="仿宋_GB2312" w:eastAsia="仿宋_GB2312" w:cs="仿宋_GB2312"/>
                <w:color w:val="000000"/>
                <w:kern w:val="0"/>
                <w:sz w:val="19"/>
                <w:szCs w:val="19"/>
              </w:rPr>
              <w:t>5.</w:t>
            </w:r>
            <w:r>
              <w:rPr>
                <w:rFonts w:hint="eastAsia" w:ascii="仿宋_GB2312" w:hAnsi="仿宋_GB2312" w:eastAsia="仿宋_GB2312" w:cs="仿宋_GB2312"/>
                <w:color w:val="000000"/>
                <w:kern w:val="0"/>
                <w:sz w:val="19"/>
                <w:szCs w:val="19"/>
              </w:rPr>
              <w:t>事后监管；按照规定监督检查工程建设质量。其他法律法规规章文件规定应履行的责任。</w:t>
            </w:r>
          </w:p>
          <w:p w14:paraId="6704B4F6">
            <w:pPr>
              <w:rPr>
                <w:rFonts w:ascii="Arial"/>
              </w:rPr>
            </w:pPr>
          </w:p>
        </w:tc>
        <w:tc>
          <w:tcPr>
            <w:tcW w:w="1513" w:type="dxa"/>
          </w:tcPr>
          <w:p w14:paraId="3E752FFD">
            <w:pPr>
              <w:rPr>
                <w:rFonts w:ascii="Arial"/>
              </w:rPr>
            </w:pPr>
          </w:p>
        </w:tc>
        <w:tc>
          <w:tcPr>
            <w:tcW w:w="1226" w:type="dxa"/>
          </w:tcPr>
          <w:p w14:paraId="225E0C92">
            <w:pPr>
              <w:rPr>
                <w:sz w:val="28"/>
                <w:szCs w:val="28"/>
              </w:rPr>
            </w:pPr>
          </w:p>
          <w:p w14:paraId="7510EF34">
            <w:pPr>
              <w:rPr>
                <w:sz w:val="28"/>
                <w:szCs w:val="28"/>
              </w:rPr>
            </w:pPr>
          </w:p>
          <w:p w14:paraId="0D036120">
            <w:pPr>
              <w:rPr>
                <w:sz w:val="28"/>
                <w:szCs w:val="28"/>
              </w:rPr>
            </w:pPr>
          </w:p>
          <w:p w14:paraId="54F15AEC">
            <w:pPr>
              <w:rPr>
                <w:sz w:val="28"/>
                <w:szCs w:val="28"/>
              </w:rPr>
            </w:pPr>
          </w:p>
          <w:p w14:paraId="6DF858CA">
            <w:pPr>
              <w:rPr>
                <w:sz w:val="28"/>
                <w:szCs w:val="28"/>
              </w:rPr>
            </w:pPr>
          </w:p>
          <w:p w14:paraId="44008334">
            <w:pPr>
              <w:rPr>
                <w:sz w:val="28"/>
                <w:szCs w:val="28"/>
              </w:rPr>
            </w:pPr>
          </w:p>
          <w:p w14:paraId="251399C9">
            <w:pPr>
              <w:rPr>
                <w:sz w:val="28"/>
                <w:szCs w:val="28"/>
              </w:rPr>
            </w:pPr>
          </w:p>
          <w:p w14:paraId="2C1EF12D">
            <w:pPr>
              <w:rPr>
                <w:sz w:val="28"/>
                <w:szCs w:val="28"/>
              </w:rPr>
            </w:pPr>
          </w:p>
          <w:p w14:paraId="3FC883F5">
            <w:pPr>
              <w:rPr>
                <w:sz w:val="28"/>
                <w:szCs w:val="28"/>
              </w:rPr>
            </w:pPr>
          </w:p>
          <w:p w14:paraId="67942426">
            <w:pPr>
              <w:rPr>
                <w:sz w:val="28"/>
                <w:szCs w:val="28"/>
              </w:rPr>
            </w:pPr>
          </w:p>
          <w:p w14:paraId="6B56207E">
            <w:pPr>
              <w:rPr>
                <w:sz w:val="28"/>
                <w:szCs w:val="28"/>
              </w:rPr>
            </w:pPr>
            <w:r>
              <w:rPr>
                <w:rFonts w:hint="eastAsia" w:cs="宋体"/>
                <w:sz w:val="28"/>
                <w:szCs w:val="28"/>
              </w:rPr>
              <w:t>人防中心</w:t>
            </w:r>
          </w:p>
          <w:p w14:paraId="766FE07B">
            <w:pPr>
              <w:rPr>
                <w:rFonts w:ascii="Arial"/>
              </w:rPr>
            </w:pPr>
            <w:r>
              <w:rPr>
                <w:rFonts w:hint="eastAsia" w:cs="宋体"/>
                <w:sz w:val="28"/>
                <w:szCs w:val="28"/>
              </w:rPr>
              <w:t>工程股</w:t>
            </w:r>
          </w:p>
        </w:tc>
      </w:tr>
      <w:tr w14:paraId="02ED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79" w:type="dxa"/>
            <w:gridSpan w:val="8"/>
          </w:tcPr>
          <w:p w14:paraId="246B14BF">
            <w:pPr>
              <w:spacing w:line="248" w:lineRule="auto"/>
              <w:rPr>
                <w:rFonts w:ascii="Arial"/>
              </w:rPr>
            </w:pPr>
          </w:p>
          <w:p w14:paraId="3E090028">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5F56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15479" w:type="dxa"/>
            <w:gridSpan w:val="8"/>
          </w:tcPr>
          <w:p w14:paraId="4D490D3B">
            <w:pPr>
              <w:spacing w:line="262" w:lineRule="auto"/>
              <w:rPr>
                <w:rFonts w:ascii="Arial"/>
              </w:rPr>
            </w:pPr>
          </w:p>
          <w:p w14:paraId="20F339D2">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tbl>
      <w:tblPr>
        <w:tblStyle w:val="8"/>
        <w:tblpPr w:leftFromText="180" w:rightFromText="180" w:vertAnchor="text" w:horzAnchor="page" w:tblpX="705" w:tblpY="278"/>
        <w:tblOverlap w:val="never"/>
        <w:tblW w:w="15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545"/>
        <w:gridCol w:w="4545"/>
        <w:gridCol w:w="960"/>
        <w:gridCol w:w="1380"/>
        <w:gridCol w:w="3525"/>
        <w:gridCol w:w="585"/>
        <w:gridCol w:w="2364"/>
      </w:tblGrid>
      <w:tr w14:paraId="518C0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75" w:type="dxa"/>
          </w:tcPr>
          <w:p w14:paraId="3114D6D3">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545" w:type="dxa"/>
          </w:tcPr>
          <w:p w14:paraId="395B1C9B">
            <w:pPr>
              <w:spacing w:before="202" w:line="220" w:lineRule="auto"/>
              <w:ind w:firstLine="231" w:firstLineChars="100"/>
              <w:rPr>
                <w:rFonts w:ascii="宋体"/>
                <w:sz w:val="24"/>
                <w:szCs w:val="24"/>
              </w:rPr>
            </w:pPr>
            <w:r>
              <w:rPr>
                <w:rFonts w:hint="eastAsia" w:ascii="宋体" w:hAnsi="宋体" w:cs="宋体"/>
                <w:b/>
                <w:bCs/>
                <w:spacing w:val="-5"/>
                <w:sz w:val="24"/>
                <w:szCs w:val="24"/>
              </w:rPr>
              <w:t>项目名称</w:t>
            </w:r>
          </w:p>
        </w:tc>
        <w:tc>
          <w:tcPr>
            <w:tcW w:w="4545" w:type="dxa"/>
          </w:tcPr>
          <w:p w14:paraId="49E400A3">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60" w:type="dxa"/>
          </w:tcPr>
          <w:p w14:paraId="35BC44CC">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0760A04D">
            <w:pPr>
              <w:spacing w:before="1" w:line="209" w:lineRule="auto"/>
              <w:ind w:left="287"/>
              <w:rPr>
                <w:rFonts w:ascii="宋体"/>
                <w:sz w:val="24"/>
                <w:szCs w:val="24"/>
              </w:rPr>
            </w:pPr>
            <w:r>
              <w:rPr>
                <w:rFonts w:hint="eastAsia" w:ascii="宋体" w:hAnsi="宋体" w:cs="宋体"/>
                <w:b/>
                <w:bCs/>
                <w:spacing w:val="3"/>
                <w:sz w:val="24"/>
                <w:szCs w:val="24"/>
              </w:rPr>
              <w:t>类别</w:t>
            </w:r>
          </w:p>
        </w:tc>
        <w:tc>
          <w:tcPr>
            <w:tcW w:w="1380" w:type="dxa"/>
          </w:tcPr>
          <w:p w14:paraId="49D13851">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25" w:type="dxa"/>
          </w:tcPr>
          <w:p w14:paraId="30BA9FC5">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585" w:type="dxa"/>
          </w:tcPr>
          <w:p w14:paraId="2B4BD092">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2364" w:type="dxa"/>
          </w:tcPr>
          <w:p w14:paraId="6A2B4747">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233B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3" w:hRule="atLeast"/>
        </w:trPr>
        <w:tc>
          <w:tcPr>
            <w:tcW w:w="575" w:type="dxa"/>
          </w:tcPr>
          <w:p w14:paraId="2C916ECD">
            <w:pPr>
              <w:spacing w:line="260" w:lineRule="auto"/>
              <w:rPr>
                <w:rFonts w:ascii="Arial"/>
              </w:rPr>
            </w:pPr>
          </w:p>
          <w:p w14:paraId="126EBE83">
            <w:pPr>
              <w:spacing w:line="260" w:lineRule="auto"/>
              <w:rPr>
                <w:rFonts w:ascii="Arial"/>
              </w:rPr>
            </w:pPr>
          </w:p>
          <w:p w14:paraId="10D6CA60">
            <w:pPr>
              <w:spacing w:line="260" w:lineRule="auto"/>
              <w:rPr>
                <w:rFonts w:ascii="Arial"/>
              </w:rPr>
            </w:pPr>
          </w:p>
          <w:p w14:paraId="2A8832EC">
            <w:pPr>
              <w:spacing w:line="260" w:lineRule="auto"/>
              <w:rPr>
                <w:rFonts w:ascii="Arial"/>
              </w:rPr>
            </w:pPr>
          </w:p>
          <w:p w14:paraId="3FEA7E03">
            <w:pPr>
              <w:spacing w:line="260" w:lineRule="auto"/>
              <w:rPr>
                <w:rFonts w:ascii="Arial"/>
              </w:rPr>
            </w:pPr>
          </w:p>
          <w:p w14:paraId="41115AEF">
            <w:pPr>
              <w:spacing w:line="261" w:lineRule="auto"/>
              <w:rPr>
                <w:rFonts w:ascii="Arial"/>
              </w:rPr>
            </w:pPr>
          </w:p>
          <w:p w14:paraId="41857EFF">
            <w:pPr>
              <w:spacing w:line="261" w:lineRule="auto"/>
              <w:rPr>
                <w:rFonts w:ascii="Arial"/>
              </w:rPr>
            </w:pPr>
          </w:p>
          <w:p w14:paraId="0C4974AD">
            <w:pPr>
              <w:spacing w:before="78" w:line="184" w:lineRule="auto"/>
              <w:ind w:left="504"/>
              <w:rPr>
                <w:rFonts w:ascii="宋体"/>
                <w:sz w:val="24"/>
                <w:szCs w:val="24"/>
              </w:rPr>
            </w:pPr>
          </w:p>
          <w:p w14:paraId="4B1CD044">
            <w:pPr>
              <w:spacing w:before="78" w:line="184" w:lineRule="auto"/>
              <w:ind w:left="504"/>
              <w:rPr>
                <w:rFonts w:ascii="宋体"/>
                <w:sz w:val="24"/>
                <w:szCs w:val="24"/>
              </w:rPr>
            </w:pPr>
          </w:p>
          <w:p w14:paraId="10755F52">
            <w:pPr>
              <w:spacing w:before="78" w:line="184" w:lineRule="auto"/>
              <w:ind w:left="504"/>
              <w:rPr>
                <w:rFonts w:ascii="宋体"/>
                <w:sz w:val="24"/>
                <w:szCs w:val="24"/>
              </w:rPr>
            </w:pPr>
          </w:p>
          <w:p w14:paraId="35E7CB90">
            <w:pPr>
              <w:spacing w:before="78" w:line="184" w:lineRule="auto"/>
              <w:ind w:left="504"/>
              <w:rPr>
                <w:rFonts w:ascii="宋体"/>
                <w:sz w:val="24"/>
                <w:szCs w:val="24"/>
              </w:rPr>
            </w:pPr>
          </w:p>
          <w:p w14:paraId="5BEFB30B">
            <w:pPr>
              <w:spacing w:before="78" w:line="184" w:lineRule="auto"/>
              <w:ind w:left="504"/>
              <w:rPr>
                <w:rFonts w:ascii="宋体"/>
                <w:sz w:val="24"/>
                <w:szCs w:val="24"/>
              </w:rPr>
            </w:pPr>
          </w:p>
          <w:p w14:paraId="24D29F0C">
            <w:pPr>
              <w:spacing w:before="78" w:line="184" w:lineRule="auto"/>
              <w:ind w:left="504"/>
              <w:rPr>
                <w:rFonts w:ascii="宋体"/>
                <w:sz w:val="24"/>
                <w:szCs w:val="24"/>
              </w:rPr>
            </w:pPr>
            <w:r>
              <w:rPr>
                <w:rFonts w:ascii="宋体" w:hAnsi="宋体" w:cs="宋体"/>
                <w:sz w:val="24"/>
                <w:szCs w:val="24"/>
              </w:rPr>
              <w:t>5</w:t>
            </w:r>
          </w:p>
        </w:tc>
        <w:tc>
          <w:tcPr>
            <w:tcW w:w="1545" w:type="dxa"/>
          </w:tcPr>
          <w:p w14:paraId="64085742">
            <w:pPr>
              <w:rPr>
                <w:rFonts w:ascii="仿宋_GB2312" w:hAnsi="宋体" w:eastAsia="仿宋_GB2312"/>
                <w:color w:val="000000"/>
                <w:kern w:val="0"/>
                <w:sz w:val="28"/>
                <w:szCs w:val="28"/>
              </w:rPr>
            </w:pPr>
          </w:p>
          <w:p w14:paraId="08C8B23E">
            <w:pPr>
              <w:rPr>
                <w:rFonts w:ascii="仿宋_GB2312" w:hAnsi="宋体" w:eastAsia="仿宋_GB2312"/>
                <w:color w:val="000000"/>
                <w:kern w:val="0"/>
                <w:sz w:val="28"/>
                <w:szCs w:val="28"/>
              </w:rPr>
            </w:pPr>
          </w:p>
          <w:p w14:paraId="20BD178C">
            <w:pPr>
              <w:rPr>
                <w:rFonts w:ascii="仿宋_GB2312" w:hAnsi="宋体" w:eastAsia="仿宋_GB2312"/>
                <w:color w:val="000000"/>
                <w:kern w:val="0"/>
                <w:sz w:val="28"/>
                <w:szCs w:val="28"/>
              </w:rPr>
            </w:pPr>
          </w:p>
          <w:p w14:paraId="37A42E5F">
            <w:pPr>
              <w:rPr>
                <w:rFonts w:ascii="Arial"/>
              </w:rPr>
            </w:pPr>
            <w:r>
              <w:rPr>
                <w:rFonts w:hint="eastAsia" w:ascii="仿宋_GB2312" w:hAnsi="宋体" w:eastAsia="仿宋_GB2312" w:cs="仿宋_GB2312"/>
                <w:color w:val="000000"/>
                <w:kern w:val="0"/>
                <w:sz w:val="28"/>
                <w:szCs w:val="28"/>
              </w:rPr>
              <w:t>人民防空工程拆除审批</w:t>
            </w:r>
          </w:p>
        </w:tc>
        <w:tc>
          <w:tcPr>
            <w:tcW w:w="4545" w:type="dxa"/>
          </w:tcPr>
          <w:p w14:paraId="59072E92">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中华人民共和国人民防空法》第二十一条：人民防空指挥工程、公用的人员掩蔽工程和疏散干道工程由人民防空主管部门负责组织修建；医疗救护、物资储备等专用工程由其他有关部门负责组织修建。关单位负责修建本单位的人员与物资掩蔽工程。第二十八条：任何组织和个人不得擅自拆除本法第二十一条规定的人民防空工程；确需拆除的，必须经人民防空主管部门批准，并由拆除单位负责补建或者补偿。</w:t>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《河南省实施</w:t>
            </w:r>
            <w:r>
              <w:rPr>
                <w:rFonts w:ascii="仿宋" w:hAnsi="仿宋" w:eastAsia="仿宋" w:cs="仿宋"/>
                <w:color w:val="000000"/>
                <w:kern w:val="0"/>
                <w:sz w:val="22"/>
                <w:szCs w:val="22"/>
              </w:rPr>
              <w:t>&lt;</w:t>
            </w:r>
            <w:r>
              <w:rPr>
                <w:rFonts w:hint="eastAsia" w:ascii="仿宋" w:hAnsi="仿宋" w:eastAsia="仿宋" w:cs="仿宋"/>
                <w:color w:val="000000"/>
                <w:kern w:val="0"/>
                <w:sz w:val="22"/>
                <w:szCs w:val="22"/>
              </w:rPr>
              <w:t>中华人民共和国人民防空法</w:t>
            </w:r>
            <w:r>
              <w:rPr>
                <w:rFonts w:ascii="仿宋" w:hAnsi="仿宋" w:eastAsia="仿宋" w:cs="仿宋"/>
                <w:color w:val="000000"/>
                <w:kern w:val="0"/>
                <w:sz w:val="22"/>
                <w:szCs w:val="22"/>
              </w:rPr>
              <w:t>&gt;</w:t>
            </w:r>
            <w:r>
              <w:rPr>
                <w:rFonts w:hint="eastAsia" w:ascii="仿宋" w:hAnsi="仿宋" w:eastAsia="仿宋" w:cs="仿宋"/>
                <w:color w:val="000000"/>
                <w:kern w:val="0"/>
                <w:sz w:val="22"/>
                <w:szCs w:val="22"/>
              </w:rPr>
              <w:t>办法》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w:t>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《河南省人民防空工程管理办法》（河南省人民政府令第</w:t>
            </w:r>
            <w:r>
              <w:rPr>
                <w:rFonts w:ascii="仿宋" w:hAnsi="仿宋" w:eastAsia="仿宋" w:cs="仿宋"/>
                <w:color w:val="000000"/>
                <w:kern w:val="0"/>
                <w:sz w:val="22"/>
                <w:szCs w:val="22"/>
              </w:rPr>
              <w:t>159</w:t>
            </w:r>
            <w:r>
              <w:rPr>
                <w:rFonts w:hint="eastAsia" w:ascii="仿宋" w:hAnsi="仿宋" w:eastAsia="仿宋" w:cs="仿宋"/>
                <w:color w:val="000000"/>
                <w:kern w:val="0"/>
                <w:sz w:val="22"/>
                <w:szCs w:val="22"/>
              </w:rPr>
              <w:t>号）</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第三十条：任何单位或者个人不得擅自拆除、报废人防工程。确需拆除、报废的</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应当经人民防空主管部门批准。经批准拆除的人防工程</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拆除单位或者个人应当按照拆除的建筑面积、防护等级和用途</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自批准之日起</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年内补建。确实无法补建的</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拆除单位或者个人应当按照当地新建人防工程的造价</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向人民防空主管部门缴纳拆除补偿费</w:t>
            </w:r>
            <w:r>
              <w:rPr>
                <w:rFonts w:ascii="仿宋" w:hAnsi="仿宋" w:eastAsia="仿宋" w:cs="仿宋"/>
                <w:color w:val="000000"/>
                <w:kern w:val="0"/>
                <w:sz w:val="22"/>
                <w:szCs w:val="22"/>
              </w:rPr>
              <w:t>,</w:t>
            </w:r>
            <w:r>
              <w:rPr>
                <w:rFonts w:hint="eastAsia" w:ascii="仿宋" w:hAnsi="仿宋" w:eastAsia="仿宋" w:cs="仿宋"/>
                <w:color w:val="000000"/>
                <w:kern w:val="0"/>
                <w:sz w:val="22"/>
                <w:szCs w:val="22"/>
              </w:rPr>
              <w:t>由人民防空主管部门统一补建。</w:t>
            </w:r>
          </w:p>
        </w:tc>
        <w:tc>
          <w:tcPr>
            <w:tcW w:w="960" w:type="dxa"/>
          </w:tcPr>
          <w:p w14:paraId="71368493">
            <w:pPr>
              <w:rPr>
                <w:rFonts w:ascii="仿宋" w:hAnsi="仿宋" w:eastAsia="仿宋"/>
                <w:color w:val="000000"/>
                <w:kern w:val="0"/>
                <w:sz w:val="30"/>
                <w:szCs w:val="30"/>
              </w:rPr>
            </w:pPr>
          </w:p>
          <w:p w14:paraId="50FD0C16">
            <w:pPr>
              <w:rPr>
                <w:rFonts w:ascii="仿宋" w:hAnsi="仿宋" w:eastAsia="仿宋"/>
                <w:color w:val="000000"/>
                <w:kern w:val="0"/>
                <w:sz w:val="30"/>
                <w:szCs w:val="30"/>
              </w:rPr>
            </w:pPr>
          </w:p>
          <w:p w14:paraId="140D6015">
            <w:pPr>
              <w:rPr>
                <w:rFonts w:ascii="仿宋" w:hAnsi="仿宋" w:eastAsia="仿宋"/>
                <w:color w:val="000000"/>
                <w:kern w:val="0"/>
                <w:sz w:val="30"/>
                <w:szCs w:val="30"/>
              </w:rPr>
            </w:pPr>
          </w:p>
          <w:p w14:paraId="609A6E92">
            <w:pPr>
              <w:rPr>
                <w:rFonts w:ascii="仿宋" w:hAnsi="仿宋" w:eastAsia="仿宋"/>
                <w:color w:val="000000"/>
                <w:kern w:val="0"/>
                <w:sz w:val="30"/>
                <w:szCs w:val="30"/>
              </w:rPr>
            </w:pPr>
          </w:p>
          <w:p w14:paraId="3BB5F521">
            <w:pPr>
              <w:rPr>
                <w:rFonts w:ascii="仿宋" w:hAnsi="仿宋" w:eastAsia="仿宋"/>
                <w:color w:val="000000"/>
                <w:kern w:val="0"/>
                <w:sz w:val="30"/>
                <w:szCs w:val="30"/>
              </w:rPr>
            </w:pPr>
          </w:p>
          <w:p w14:paraId="65D865E5">
            <w:pPr>
              <w:rPr>
                <w:rFonts w:ascii="Arial"/>
              </w:rPr>
            </w:pPr>
            <w:r>
              <w:rPr>
                <w:rFonts w:hint="eastAsia" w:ascii="仿宋" w:hAnsi="仿宋" w:eastAsia="仿宋" w:cs="仿宋"/>
                <w:color w:val="000000"/>
                <w:kern w:val="0"/>
                <w:sz w:val="30"/>
                <w:szCs w:val="30"/>
              </w:rPr>
              <w:t>行政许可</w:t>
            </w:r>
          </w:p>
        </w:tc>
        <w:tc>
          <w:tcPr>
            <w:tcW w:w="1380" w:type="dxa"/>
          </w:tcPr>
          <w:p w14:paraId="35FA65EA">
            <w:pPr>
              <w:rPr>
                <w:rFonts w:ascii="宋体"/>
                <w:sz w:val="30"/>
                <w:szCs w:val="30"/>
              </w:rPr>
            </w:pPr>
          </w:p>
          <w:p w14:paraId="6FF6671F">
            <w:pPr>
              <w:rPr>
                <w:rFonts w:ascii="宋体"/>
                <w:sz w:val="30"/>
                <w:szCs w:val="30"/>
              </w:rPr>
            </w:pPr>
          </w:p>
          <w:p w14:paraId="2D050F63">
            <w:pPr>
              <w:rPr>
                <w:rFonts w:ascii="宋体"/>
                <w:sz w:val="30"/>
                <w:szCs w:val="30"/>
              </w:rPr>
            </w:pPr>
          </w:p>
          <w:p w14:paraId="29D472CF">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25" w:type="dxa"/>
          </w:tcPr>
          <w:p w14:paraId="51AA48A7">
            <w:pPr>
              <w:widowControl/>
              <w:jc w:val="left"/>
              <w:rPr>
                <w:sz w:val="24"/>
                <w:szCs w:val="24"/>
              </w:rPr>
            </w:pPr>
            <w:r>
              <w:rPr>
                <w:sz w:val="24"/>
                <w:szCs w:val="24"/>
              </w:rPr>
              <w:t>1.</w:t>
            </w:r>
            <w:r>
              <w:rPr>
                <w:rFonts w:hint="eastAsia" w:cs="宋体"/>
                <w:sz w:val="24"/>
                <w:szCs w:val="24"/>
              </w:rPr>
              <w:t>受理；</w:t>
            </w:r>
            <w:r>
              <w:rPr>
                <w:rFonts w:hint="eastAsia" w:ascii="仿宋_GB2312" w:hAnsi="仿宋_GB2312" w:eastAsia="仿宋_GB2312" w:cs="仿宋_GB2312"/>
                <w:color w:val="000000"/>
                <w:kern w:val="0"/>
                <w:sz w:val="24"/>
                <w:szCs w:val="24"/>
              </w:rPr>
              <w:t>工作人员通过窗口或河南政务服务网接收申报材</w:t>
            </w:r>
            <w:r>
              <w:rPr>
                <w:rFonts w:ascii="仿宋_GB2312" w:hAnsi="仿宋_GB2312" w:eastAsia="仿宋_GB2312" w:cs="仿宋_GB2312"/>
                <w:color w:val="000000"/>
                <w:kern w:val="0"/>
                <w:sz w:val="24"/>
                <w:szCs w:val="24"/>
              </w:rPr>
              <w:t xml:space="preserve"> </w:t>
            </w:r>
          </w:p>
          <w:p w14:paraId="1F9CC9DF">
            <w:pPr>
              <w:widowControl/>
              <w:jc w:val="left"/>
              <w:rPr>
                <w:sz w:val="24"/>
                <w:szCs w:val="24"/>
              </w:rPr>
            </w:pPr>
            <w:r>
              <w:rPr>
                <w:rFonts w:hint="eastAsia" w:ascii="仿宋_GB2312" w:hAnsi="仿宋_GB2312" w:eastAsia="仿宋_GB2312" w:cs="仿宋_GB2312"/>
                <w:color w:val="000000"/>
                <w:kern w:val="0"/>
                <w:sz w:val="24"/>
                <w:szCs w:val="24"/>
              </w:rPr>
              <w:t>料，所交材料不齐全或不符合法定要求的，签发《一</w:t>
            </w:r>
            <w:r>
              <w:rPr>
                <w:rFonts w:ascii="仿宋_GB2312" w:hAnsi="仿宋_GB2312" w:eastAsia="仿宋_GB2312" w:cs="仿宋_GB2312"/>
                <w:color w:val="000000"/>
                <w:kern w:val="0"/>
                <w:sz w:val="24"/>
                <w:szCs w:val="24"/>
              </w:rPr>
              <w:t xml:space="preserve"> </w:t>
            </w:r>
          </w:p>
          <w:p w14:paraId="20473DF3">
            <w:pPr>
              <w:widowControl/>
              <w:jc w:val="left"/>
              <w:rPr>
                <w:sz w:val="24"/>
                <w:szCs w:val="24"/>
              </w:rPr>
            </w:pPr>
            <w:r>
              <w:rPr>
                <w:rFonts w:hint="eastAsia" w:ascii="仿宋_GB2312" w:hAnsi="仿宋_GB2312" w:eastAsia="仿宋_GB2312" w:cs="仿宋_GB2312"/>
                <w:color w:val="000000"/>
                <w:kern w:val="0"/>
                <w:sz w:val="24"/>
                <w:szCs w:val="24"/>
              </w:rPr>
              <w:t>次性告知书》。如所交材料存在可以当场更正的错</w:t>
            </w:r>
            <w:r>
              <w:rPr>
                <w:rFonts w:ascii="仿宋_GB2312" w:hAnsi="仿宋_GB2312" w:eastAsia="仿宋_GB2312" w:cs="仿宋_GB2312"/>
                <w:color w:val="000000"/>
                <w:kern w:val="0"/>
                <w:sz w:val="24"/>
                <w:szCs w:val="24"/>
              </w:rPr>
              <w:t xml:space="preserve"> </w:t>
            </w:r>
          </w:p>
          <w:p w14:paraId="5B5FCC41">
            <w:pPr>
              <w:widowControl/>
              <w:jc w:val="left"/>
              <w:rPr>
                <w:sz w:val="24"/>
                <w:szCs w:val="24"/>
              </w:rPr>
            </w:pPr>
            <w:r>
              <w:rPr>
                <w:rFonts w:hint="eastAsia" w:ascii="仿宋_GB2312" w:hAnsi="仿宋_GB2312" w:eastAsia="仿宋_GB2312" w:cs="仿宋_GB2312"/>
                <w:color w:val="000000"/>
                <w:kern w:val="0"/>
                <w:sz w:val="24"/>
                <w:szCs w:val="24"/>
              </w:rPr>
              <w:t>误，申请人可当场更正。如所交材料齐全，应当场</w:t>
            </w:r>
            <w:r>
              <w:rPr>
                <w:rFonts w:ascii="仿宋_GB2312" w:hAnsi="仿宋_GB2312" w:eastAsia="仿宋_GB2312" w:cs="仿宋_GB2312"/>
                <w:color w:val="000000"/>
                <w:kern w:val="0"/>
                <w:sz w:val="24"/>
                <w:szCs w:val="24"/>
              </w:rPr>
              <w:t xml:space="preserve"> </w:t>
            </w:r>
          </w:p>
          <w:p w14:paraId="62067B7D">
            <w:pPr>
              <w:widowControl/>
              <w:jc w:val="left"/>
              <w:rPr>
                <w:sz w:val="24"/>
                <w:szCs w:val="24"/>
              </w:rPr>
            </w:pPr>
            <w:r>
              <w:rPr>
                <w:rFonts w:hint="eastAsia" w:ascii="仿宋_GB2312" w:hAnsi="仿宋_GB2312" w:eastAsia="仿宋_GB2312" w:cs="仿宋_GB2312"/>
                <w:color w:val="000000"/>
                <w:kern w:val="0"/>
                <w:sz w:val="24"/>
                <w:szCs w:val="24"/>
              </w:rPr>
              <w:t>作出是否受理决定，并签发《受理通知书》或《不</w:t>
            </w:r>
            <w:r>
              <w:rPr>
                <w:rFonts w:ascii="仿宋_GB2312" w:hAnsi="仿宋_GB2312" w:eastAsia="仿宋_GB2312" w:cs="仿宋_GB2312"/>
                <w:color w:val="000000"/>
                <w:kern w:val="0"/>
                <w:sz w:val="24"/>
                <w:szCs w:val="24"/>
              </w:rPr>
              <w:t xml:space="preserve"> </w:t>
            </w:r>
          </w:p>
          <w:p w14:paraId="203DF6CB">
            <w:pPr>
              <w:widowControl/>
              <w:jc w:val="left"/>
              <w:rPr>
                <w:sz w:val="24"/>
                <w:szCs w:val="24"/>
              </w:rPr>
            </w:pPr>
            <w:r>
              <w:rPr>
                <w:rFonts w:hint="eastAsia" w:ascii="仿宋_GB2312" w:hAnsi="仿宋_GB2312" w:eastAsia="仿宋_GB2312" w:cs="仿宋_GB2312"/>
                <w:color w:val="000000"/>
                <w:kern w:val="0"/>
                <w:sz w:val="24"/>
                <w:szCs w:val="24"/>
              </w:rPr>
              <w:t>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审核；在受理申报材料后，由办理科室对内容进行审查。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如有必要，启动特殊环节进行辅助审查。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决定；作出是否同意申请事项的决定。作出准予审批（办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理）决定的，签发审批办理结果；作出不予审批（办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理）决定的，签发《不予审批（办理）告知单》。</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送达；实施机关作出决定当日应通知申请人，及时向申请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人颁发、送达审批服务事项办理结果。</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事后监管；对人防工程拆除情况进行检查。其他法律法规规章文件规定应履行的责任。</w:t>
            </w:r>
          </w:p>
          <w:p w14:paraId="61E751D6">
            <w:pPr>
              <w:rPr>
                <w:rFonts w:ascii="Arial"/>
              </w:rPr>
            </w:pPr>
          </w:p>
        </w:tc>
        <w:tc>
          <w:tcPr>
            <w:tcW w:w="585" w:type="dxa"/>
          </w:tcPr>
          <w:p w14:paraId="4A188490">
            <w:pPr>
              <w:rPr>
                <w:rFonts w:ascii="Arial"/>
              </w:rPr>
            </w:pPr>
          </w:p>
        </w:tc>
        <w:tc>
          <w:tcPr>
            <w:tcW w:w="2364" w:type="dxa"/>
          </w:tcPr>
          <w:p w14:paraId="4ADD303E">
            <w:pPr>
              <w:rPr>
                <w:sz w:val="28"/>
                <w:szCs w:val="28"/>
              </w:rPr>
            </w:pPr>
          </w:p>
          <w:p w14:paraId="410A92A1">
            <w:pPr>
              <w:rPr>
                <w:sz w:val="28"/>
                <w:szCs w:val="28"/>
              </w:rPr>
            </w:pPr>
          </w:p>
          <w:p w14:paraId="2F94B14B">
            <w:pPr>
              <w:rPr>
                <w:sz w:val="28"/>
                <w:szCs w:val="28"/>
              </w:rPr>
            </w:pPr>
          </w:p>
          <w:p w14:paraId="7F8994A1">
            <w:pPr>
              <w:rPr>
                <w:sz w:val="28"/>
                <w:szCs w:val="28"/>
              </w:rPr>
            </w:pPr>
          </w:p>
          <w:p w14:paraId="2506401A">
            <w:pPr>
              <w:rPr>
                <w:sz w:val="28"/>
                <w:szCs w:val="28"/>
              </w:rPr>
            </w:pPr>
          </w:p>
          <w:p w14:paraId="367B155E">
            <w:pPr>
              <w:rPr>
                <w:sz w:val="28"/>
                <w:szCs w:val="28"/>
              </w:rPr>
            </w:pPr>
          </w:p>
          <w:p w14:paraId="6C7277E8">
            <w:pPr>
              <w:rPr>
                <w:sz w:val="28"/>
                <w:szCs w:val="28"/>
              </w:rPr>
            </w:pPr>
          </w:p>
          <w:p w14:paraId="074DE97A">
            <w:pPr>
              <w:rPr>
                <w:sz w:val="28"/>
                <w:szCs w:val="28"/>
              </w:rPr>
            </w:pPr>
          </w:p>
          <w:p w14:paraId="7CC1D8DF">
            <w:pPr>
              <w:rPr>
                <w:sz w:val="28"/>
                <w:szCs w:val="28"/>
              </w:rPr>
            </w:pPr>
          </w:p>
          <w:p w14:paraId="4B077F81">
            <w:pPr>
              <w:rPr>
                <w:sz w:val="28"/>
                <w:szCs w:val="28"/>
              </w:rPr>
            </w:pPr>
            <w:r>
              <w:rPr>
                <w:rFonts w:hint="eastAsia" w:cs="宋体"/>
                <w:sz w:val="28"/>
                <w:szCs w:val="28"/>
              </w:rPr>
              <w:t>人防中心</w:t>
            </w:r>
          </w:p>
          <w:p w14:paraId="60054659">
            <w:pPr>
              <w:rPr>
                <w:rFonts w:ascii="Arial"/>
              </w:rPr>
            </w:pPr>
            <w:r>
              <w:rPr>
                <w:rFonts w:hint="eastAsia" w:cs="宋体"/>
                <w:sz w:val="28"/>
                <w:szCs w:val="28"/>
              </w:rPr>
              <w:t>工程股</w:t>
            </w:r>
          </w:p>
        </w:tc>
      </w:tr>
      <w:tr w14:paraId="75D5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5479" w:type="dxa"/>
            <w:gridSpan w:val="8"/>
          </w:tcPr>
          <w:p w14:paraId="62551C48">
            <w:pPr>
              <w:spacing w:line="248" w:lineRule="auto"/>
              <w:rPr>
                <w:rFonts w:ascii="Arial"/>
              </w:rPr>
            </w:pPr>
          </w:p>
          <w:p w14:paraId="07A58D68">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4A29B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atLeast"/>
        </w:trPr>
        <w:tc>
          <w:tcPr>
            <w:tcW w:w="15479" w:type="dxa"/>
            <w:gridSpan w:val="8"/>
          </w:tcPr>
          <w:p w14:paraId="36E420B5">
            <w:pPr>
              <w:spacing w:line="262" w:lineRule="auto"/>
              <w:rPr>
                <w:rFonts w:ascii="Arial"/>
              </w:rPr>
            </w:pPr>
          </w:p>
          <w:p w14:paraId="54A85CD3">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41D1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575" w:type="dxa"/>
          </w:tcPr>
          <w:p w14:paraId="52305996">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545" w:type="dxa"/>
          </w:tcPr>
          <w:p w14:paraId="5D4D18FC">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4545" w:type="dxa"/>
          </w:tcPr>
          <w:p w14:paraId="4D2D7F33">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60" w:type="dxa"/>
          </w:tcPr>
          <w:p w14:paraId="79FB4160">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73C7E94C">
            <w:pPr>
              <w:spacing w:before="1" w:line="209" w:lineRule="auto"/>
              <w:ind w:left="287"/>
              <w:rPr>
                <w:rFonts w:ascii="宋体"/>
                <w:sz w:val="24"/>
                <w:szCs w:val="24"/>
              </w:rPr>
            </w:pPr>
            <w:r>
              <w:rPr>
                <w:rFonts w:hint="eastAsia" w:ascii="宋体" w:hAnsi="宋体" w:cs="宋体"/>
                <w:b/>
                <w:bCs/>
                <w:spacing w:val="3"/>
                <w:sz w:val="24"/>
                <w:szCs w:val="24"/>
              </w:rPr>
              <w:t>类别</w:t>
            </w:r>
          </w:p>
        </w:tc>
        <w:tc>
          <w:tcPr>
            <w:tcW w:w="1380" w:type="dxa"/>
          </w:tcPr>
          <w:p w14:paraId="10D5F304">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25" w:type="dxa"/>
          </w:tcPr>
          <w:p w14:paraId="43ACA1C3">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585" w:type="dxa"/>
          </w:tcPr>
          <w:p w14:paraId="365E8978">
            <w:pPr>
              <w:spacing w:before="202" w:line="220" w:lineRule="auto"/>
              <w:ind w:left="341"/>
              <w:jc w:val="left"/>
              <w:rPr>
                <w:rFonts w:ascii="宋体"/>
                <w:sz w:val="24"/>
                <w:szCs w:val="24"/>
              </w:rPr>
            </w:pPr>
            <w:r>
              <w:rPr>
                <w:rFonts w:hint="eastAsia" w:ascii="宋体" w:hAnsi="宋体" w:cs="宋体"/>
                <w:b/>
                <w:bCs/>
                <w:spacing w:val="-5"/>
                <w:sz w:val="24"/>
                <w:szCs w:val="24"/>
              </w:rPr>
              <w:t>追责情形</w:t>
            </w:r>
          </w:p>
        </w:tc>
        <w:tc>
          <w:tcPr>
            <w:tcW w:w="2364" w:type="dxa"/>
          </w:tcPr>
          <w:p w14:paraId="1F0BD28E">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0CE3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575" w:type="dxa"/>
          </w:tcPr>
          <w:p w14:paraId="5954737F">
            <w:pPr>
              <w:spacing w:line="260" w:lineRule="auto"/>
              <w:rPr>
                <w:rFonts w:ascii="Arial"/>
              </w:rPr>
            </w:pPr>
          </w:p>
          <w:p w14:paraId="16A59215">
            <w:pPr>
              <w:spacing w:line="260" w:lineRule="auto"/>
              <w:rPr>
                <w:rFonts w:ascii="Arial"/>
              </w:rPr>
            </w:pPr>
          </w:p>
          <w:p w14:paraId="22E2272B">
            <w:pPr>
              <w:spacing w:line="260" w:lineRule="auto"/>
              <w:rPr>
                <w:rFonts w:ascii="Arial"/>
              </w:rPr>
            </w:pPr>
          </w:p>
          <w:p w14:paraId="1591EA66">
            <w:pPr>
              <w:spacing w:line="260" w:lineRule="auto"/>
              <w:rPr>
                <w:rFonts w:ascii="Arial"/>
              </w:rPr>
            </w:pPr>
          </w:p>
          <w:p w14:paraId="09D0ED74">
            <w:pPr>
              <w:spacing w:line="260" w:lineRule="auto"/>
              <w:rPr>
                <w:rFonts w:ascii="Arial"/>
              </w:rPr>
            </w:pPr>
          </w:p>
          <w:p w14:paraId="27B14C88">
            <w:pPr>
              <w:spacing w:line="261" w:lineRule="auto"/>
              <w:rPr>
                <w:rFonts w:ascii="Arial"/>
              </w:rPr>
            </w:pPr>
          </w:p>
          <w:p w14:paraId="2F8A1F7B">
            <w:pPr>
              <w:spacing w:line="261" w:lineRule="auto"/>
              <w:rPr>
                <w:rFonts w:ascii="Arial"/>
              </w:rPr>
            </w:pPr>
          </w:p>
          <w:p w14:paraId="4D4D2109">
            <w:pPr>
              <w:spacing w:before="78" w:line="184" w:lineRule="auto"/>
              <w:rPr>
                <w:rFonts w:hint="eastAsia" w:ascii="宋体" w:eastAsia="宋体"/>
                <w:sz w:val="24"/>
                <w:szCs w:val="24"/>
                <w:lang w:val="en-US" w:eastAsia="zh-CN"/>
              </w:rPr>
            </w:pPr>
            <w:r>
              <w:rPr>
                <w:rFonts w:hint="eastAsia" w:ascii="宋体"/>
                <w:sz w:val="24"/>
                <w:szCs w:val="24"/>
                <w:lang w:val="en-US" w:eastAsia="zh-CN"/>
              </w:rPr>
              <w:t>6</w:t>
            </w:r>
          </w:p>
        </w:tc>
        <w:tc>
          <w:tcPr>
            <w:tcW w:w="1545" w:type="dxa"/>
          </w:tcPr>
          <w:p w14:paraId="20058C97">
            <w:pPr>
              <w:rPr>
                <w:rFonts w:ascii="仿宋_GB2312" w:hAnsi="宋体" w:eastAsia="仿宋_GB2312"/>
                <w:color w:val="000000"/>
                <w:kern w:val="0"/>
                <w:sz w:val="28"/>
                <w:szCs w:val="28"/>
              </w:rPr>
            </w:pPr>
          </w:p>
          <w:p w14:paraId="4DF7D544">
            <w:pPr>
              <w:rPr>
                <w:rFonts w:ascii="仿宋_GB2312" w:hAnsi="宋体" w:eastAsia="仿宋_GB2312"/>
                <w:color w:val="000000"/>
                <w:kern w:val="0"/>
                <w:sz w:val="28"/>
                <w:szCs w:val="28"/>
              </w:rPr>
            </w:pPr>
          </w:p>
          <w:p w14:paraId="2D2A45D4">
            <w:pPr>
              <w:rPr>
                <w:rFonts w:ascii="仿宋_GB2312" w:hAnsi="宋体" w:eastAsia="仿宋_GB2312"/>
                <w:color w:val="000000"/>
                <w:kern w:val="0"/>
                <w:sz w:val="28"/>
                <w:szCs w:val="28"/>
              </w:rPr>
            </w:pPr>
          </w:p>
          <w:p w14:paraId="3C2C32AD">
            <w:pPr>
              <w:rPr>
                <w:rFonts w:ascii="Arial"/>
              </w:rPr>
            </w:pPr>
            <w:r>
              <w:rPr>
                <w:rFonts w:hint="eastAsia" w:ascii="仿宋_GB2312" w:hAnsi="宋体" w:eastAsia="仿宋_GB2312" w:cs="仿宋_GB2312"/>
                <w:color w:val="000000"/>
                <w:kern w:val="0"/>
                <w:sz w:val="28"/>
                <w:szCs w:val="28"/>
              </w:rPr>
              <w:t>人民防空工程报废审批</w:t>
            </w:r>
          </w:p>
        </w:tc>
        <w:tc>
          <w:tcPr>
            <w:tcW w:w="4545" w:type="dxa"/>
          </w:tcPr>
          <w:p w14:paraId="24B2E1AA">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、《河南省实施</w:t>
            </w:r>
            <w:r>
              <w:rPr>
                <w:rFonts w:ascii="仿宋" w:hAnsi="仿宋" w:eastAsia="仿宋" w:cs="仿宋"/>
                <w:color w:val="000000"/>
                <w:kern w:val="0"/>
                <w:sz w:val="22"/>
                <w:szCs w:val="22"/>
              </w:rPr>
              <w:t>&lt;</w:t>
            </w:r>
            <w:r>
              <w:rPr>
                <w:rFonts w:hint="eastAsia" w:ascii="仿宋" w:hAnsi="仿宋" w:eastAsia="仿宋" w:cs="仿宋"/>
                <w:color w:val="000000"/>
                <w:kern w:val="0"/>
                <w:sz w:val="22"/>
                <w:szCs w:val="22"/>
              </w:rPr>
              <w:t>中华人民共和国人民防空法</w:t>
            </w:r>
            <w:r>
              <w:rPr>
                <w:rFonts w:ascii="仿宋" w:hAnsi="仿宋" w:eastAsia="仿宋" w:cs="仿宋"/>
                <w:color w:val="000000"/>
                <w:kern w:val="0"/>
                <w:sz w:val="22"/>
                <w:szCs w:val="22"/>
              </w:rPr>
              <w:t>&gt;</w:t>
            </w:r>
            <w:r>
              <w:rPr>
                <w:rFonts w:hint="eastAsia" w:ascii="仿宋" w:hAnsi="仿宋" w:eastAsia="仿宋" w:cs="仿宋"/>
                <w:color w:val="000000"/>
                <w:kern w:val="0"/>
                <w:sz w:val="22"/>
                <w:szCs w:val="22"/>
              </w:rPr>
              <w:t>办法》第十五条第三款：对不符合防护标准和质量标准的简易人民防空工程，没有加固价值的，应当按照国家有关规定，经人民防空主管部门批准报废。</w:t>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、《河南省人民防空工程管理办法》（河南省人民政府令第</w:t>
            </w:r>
            <w:r>
              <w:rPr>
                <w:rFonts w:ascii="仿宋" w:hAnsi="仿宋" w:eastAsia="仿宋" w:cs="仿宋"/>
                <w:color w:val="000000"/>
                <w:kern w:val="0"/>
                <w:sz w:val="22"/>
                <w:szCs w:val="22"/>
              </w:rPr>
              <w:t>159</w:t>
            </w:r>
            <w:r>
              <w:rPr>
                <w:rFonts w:hint="eastAsia" w:ascii="仿宋" w:hAnsi="仿宋" w:eastAsia="仿宋" w:cs="仿宋"/>
                <w:color w:val="000000"/>
                <w:kern w:val="0"/>
                <w:sz w:val="22"/>
                <w:szCs w:val="22"/>
              </w:rPr>
              <w:t>号）第三十条第一款：任何单位或者个人不得擅自拆除、报废人防工程。确需拆除、报废的，应当经人民防空主管部门批准。</w:t>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、《人民防空工程维护管理办法》（〔</w:t>
            </w:r>
            <w:r>
              <w:rPr>
                <w:rFonts w:ascii="仿宋" w:hAnsi="仿宋" w:eastAsia="仿宋" w:cs="仿宋"/>
                <w:color w:val="000000"/>
                <w:kern w:val="0"/>
                <w:sz w:val="22"/>
                <w:szCs w:val="22"/>
              </w:rPr>
              <w:t>2001</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210</w:t>
            </w:r>
            <w:r>
              <w:rPr>
                <w:rFonts w:hint="eastAsia" w:ascii="仿宋" w:hAnsi="仿宋" w:eastAsia="仿宋" w:cs="仿宋"/>
                <w:color w:val="000000"/>
                <w:kern w:val="0"/>
                <w:sz w:val="22"/>
                <w:szCs w:val="22"/>
              </w:rPr>
              <w:t>号）第二十一条：报废人民防空工程应当从严掌握。符合下列条件之一的人民防空工程，经人民防空主管部门按照本办法第十八条规定的权限批准后，可以报废：（一）工程质量低劣，直接威胁地面建筑和交通安全，且加固改造困难的；（二）工程渗漏水严重，坍塌或者有坍塌危险，没有使用价值的；（三）由于地质条件差，工程基础下沉，结构断裂、变形，已无法使用的。经批准报废的人民防空工程，由其隶属单位予以回填处理。</w:t>
            </w:r>
          </w:p>
        </w:tc>
        <w:tc>
          <w:tcPr>
            <w:tcW w:w="960" w:type="dxa"/>
          </w:tcPr>
          <w:p w14:paraId="36FF04A1">
            <w:pPr>
              <w:jc w:val="left"/>
              <w:rPr>
                <w:rFonts w:ascii="仿宋" w:hAnsi="仿宋" w:eastAsia="仿宋"/>
                <w:color w:val="000000"/>
                <w:kern w:val="0"/>
                <w:sz w:val="30"/>
                <w:szCs w:val="30"/>
              </w:rPr>
            </w:pPr>
          </w:p>
          <w:p w14:paraId="7270A852">
            <w:pPr>
              <w:jc w:val="left"/>
              <w:rPr>
                <w:rFonts w:ascii="仿宋" w:hAnsi="仿宋" w:eastAsia="仿宋"/>
                <w:color w:val="000000"/>
                <w:kern w:val="0"/>
                <w:sz w:val="30"/>
                <w:szCs w:val="30"/>
              </w:rPr>
            </w:pPr>
          </w:p>
          <w:p w14:paraId="014ACCBD">
            <w:pPr>
              <w:jc w:val="left"/>
              <w:rPr>
                <w:rFonts w:ascii="仿宋" w:hAnsi="仿宋" w:eastAsia="仿宋"/>
                <w:color w:val="000000"/>
                <w:kern w:val="0"/>
                <w:sz w:val="30"/>
                <w:szCs w:val="30"/>
              </w:rPr>
            </w:pPr>
          </w:p>
          <w:p w14:paraId="272D100E">
            <w:pPr>
              <w:jc w:val="left"/>
              <w:rPr>
                <w:rFonts w:ascii="仿宋" w:hAnsi="仿宋" w:eastAsia="仿宋"/>
                <w:color w:val="000000"/>
                <w:kern w:val="0"/>
                <w:sz w:val="30"/>
                <w:szCs w:val="30"/>
              </w:rPr>
            </w:pPr>
          </w:p>
          <w:p w14:paraId="597B7E99">
            <w:pPr>
              <w:jc w:val="left"/>
              <w:rPr>
                <w:rFonts w:ascii="仿宋" w:hAnsi="仿宋" w:eastAsia="仿宋"/>
                <w:color w:val="000000"/>
                <w:kern w:val="0"/>
                <w:sz w:val="30"/>
                <w:szCs w:val="30"/>
              </w:rPr>
            </w:pPr>
          </w:p>
          <w:p w14:paraId="661CEF3D">
            <w:pPr>
              <w:jc w:val="left"/>
              <w:rPr>
                <w:rFonts w:ascii="仿宋" w:hAnsi="仿宋" w:eastAsia="仿宋"/>
                <w:color w:val="000000"/>
                <w:kern w:val="0"/>
                <w:sz w:val="30"/>
                <w:szCs w:val="30"/>
              </w:rPr>
            </w:pPr>
          </w:p>
          <w:p w14:paraId="054E30DD">
            <w:pPr>
              <w:jc w:val="left"/>
              <w:rPr>
                <w:rFonts w:ascii="仿宋" w:hAnsi="仿宋" w:eastAsia="仿宋"/>
                <w:color w:val="000000"/>
                <w:kern w:val="0"/>
                <w:sz w:val="30"/>
                <w:szCs w:val="30"/>
              </w:rPr>
            </w:pPr>
          </w:p>
          <w:p w14:paraId="548A93FD">
            <w:pPr>
              <w:jc w:val="left"/>
              <w:rPr>
                <w:rFonts w:ascii="Arial"/>
              </w:rPr>
            </w:pPr>
            <w:r>
              <w:rPr>
                <w:rFonts w:hint="eastAsia" w:ascii="仿宋" w:hAnsi="仿宋" w:eastAsia="仿宋" w:cs="仿宋"/>
                <w:color w:val="000000"/>
                <w:kern w:val="0"/>
                <w:sz w:val="30"/>
                <w:szCs w:val="30"/>
              </w:rPr>
              <w:t>行政许可</w:t>
            </w:r>
          </w:p>
        </w:tc>
        <w:tc>
          <w:tcPr>
            <w:tcW w:w="1380" w:type="dxa"/>
          </w:tcPr>
          <w:p w14:paraId="4F947833">
            <w:pPr>
              <w:rPr>
                <w:rFonts w:ascii="宋体"/>
                <w:sz w:val="30"/>
                <w:szCs w:val="30"/>
              </w:rPr>
            </w:pPr>
          </w:p>
          <w:p w14:paraId="26F30D47">
            <w:pPr>
              <w:rPr>
                <w:rFonts w:ascii="宋体"/>
                <w:sz w:val="30"/>
                <w:szCs w:val="30"/>
              </w:rPr>
            </w:pPr>
          </w:p>
          <w:p w14:paraId="11F9C140">
            <w:pPr>
              <w:rPr>
                <w:rFonts w:ascii="宋体"/>
                <w:sz w:val="30"/>
                <w:szCs w:val="30"/>
              </w:rPr>
            </w:pPr>
          </w:p>
          <w:p w14:paraId="78DD6A89">
            <w:pPr>
              <w:rPr>
                <w:rFonts w:ascii="宋体"/>
                <w:sz w:val="30"/>
                <w:szCs w:val="30"/>
              </w:rPr>
            </w:pPr>
          </w:p>
          <w:p w14:paraId="6FFC6C0F">
            <w:pPr>
              <w:rPr>
                <w:rFonts w:ascii="宋体"/>
                <w:sz w:val="30"/>
                <w:szCs w:val="30"/>
              </w:rPr>
            </w:pPr>
          </w:p>
          <w:p w14:paraId="4F47EECC">
            <w:pPr>
              <w:rPr>
                <w:rFonts w:ascii="宋体"/>
                <w:sz w:val="30"/>
                <w:szCs w:val="30"/>
              </w:rPr>
            </w:pPr>
          </w:p>
          <w:p w14:paraId="79104FFC">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25" w:type="dxa"/>
          </w:tcPr>
          <w:p w14:paraId="4BD6C0BB">
            <w:pPr>
              <w:rPr>
                <w:rFonts w:ascii="Arial"/>
              </w:rPr>
            </w:pPr>
            <w:r>
              <w:t>1</w:t>
            </w:r>
            <w:r>
              <w:rPr>
                <w:rFonts w:hint="eastAsia" w:cs="宋体"/>
              </w:rPr>
              <w:t>、受理责任（受理岗）：接收行政许可申请材料；经机关负责人审批，依法受理或不予受理；不予受理的依法告知理由；申请材料不齐全的，一次性告知需要补正的材料。</w:t>
            </w:r>
            <w:r>
              <w:t>2</w:t>
            </w:r>
            <w:r>
              <w:rPr>
                <w:rFonts w:hint="eastAsia" w:cs="宋体"/>
              </w:rPr>
              <w:t>、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r>
              <w:t>3</w:t>
            </w:r>
            <w:r>
              <w:rPr>
                <w:rFonts w:hint="eastAsia" w:cs="宋体"/>
              </w:rPr>
              <w:t>、决定责任（决定岗）：机关负责人审批后作出决定；不予行政许可的，书面告知申请人，并说明理由。</w:t>
            </w:r>
            <w:r>
              <w:t>4</w:t>
            </w:r>
            <w:r>
              <w:rPr>
                <w:rFonts w:hint="eastAsia" w:cs="宋体"/>
              </w:rPr>
              <w:t>、送达责任（送达岗）：制作送达文书；将行政许可决定送达当事人；对于准予许可决定，应当公开供公众查询。</w:t>
            </w:r>
            <w:r>
              <w:t>5</w:t>
            </w:r>
            <w:r>
              <w:rPr>
                <w:rFonts w:hint="eastAsia" w:cs="宋体"/>
              </w:rPr>
              <w:t>、事后监管责任（事后监管岗）：加强对准予从事行政许可事项活动情况监督检查。</w:t>
            </w:r>
            <w:r>
              <w:t>6</w:t>
            </w:r>
            <w:r>
              <w:rPr>
                <w:rFonts w:hint="eastAsia" w:cs="宋体"/>
              </w:rPr>
              <w:t>、法律法规、规章规定的其他应履行的责任事项。</w:t>
            </w:r>
          </w:p>
        </w:tc>
        <w:tc>
          <w:tcPr>
            <w:tcW w:w="585" w:type="dxa"/>
          </w:tcPr>
          <w:p w14:paraId="58F62B68">
            <w:pPr>
              <w:jc w:val="left"/>
              <w:rPr>
                <w:rFonts w:ascii="Arial"/>
              </w:rPr>
            </w:pPr>
          </w:p>
        </w:tc>
        <w:tc>
          <w:tcPr>
            <w:tcW w:w="2364" w:type="dxa"/>
          </w:tcPr>
          <w:p w14:paraId="616D59FE">
            <w:pPr>
              <w:rPr>
                <w:sz w:val="28"/>
                <w:szCs w:val="28"/>
              </w:rPr>
            </w:pPr>
          </w:p>
          <w:p w14:paraId="31578447">
            <w:pPr>
              <w:rPr>
                <w:sz w:val="28"/>
                <w:szCs w:val="28"/>
              </w:rPr>
            </w:pPr>
          </w:p>
          <w:p w14:paraId="2BE9FFC9">
            <w:pPr>
              <w:rPr>
                <w:sz w:val="28"/>
                <w:szCs w:val="28"/>
              </w:rPr>
            </w:pPr>
          </w:p>
          <w:p w14:paraId="63A03E5C">
            <w:pPr>
              <w:rPr>
                <w:sz w:val="28"/>
                <w:szCs w:val="28"/>
              </w:rPr>
            </w:pPr>
          </w:p>
          <w:p w14:paraId="6031E6EA">
            <w:pPr>
              <w:rPr>
                <w:sz w:val="28"/>
                <w:szCs w:val="28"/>
              </w:rPr>
            </w:pPr>
          </w:p>
          <w:p w14:paraId="3C1DBB12">
            <w:pPr>
              <w:rPr>
                <w:sz w:val="28"/>
                <w:szCs w:val="28"/>
              </w:rPr>
            </w:pPr>
          </w:p>
          <w:p w14:paraId="6F031B2D">
            <w:pPr>
              <w:rPr>
                <w:sz w:val="28"/>
                <w:szCs w:val="28"/>
              </w:rPr>
            </w:pPr>
          </w:p>
          <w:p w14:paraId="40AFC50A">
            <w:pPr>
              <w:rPr>
                <w:sz w:val="28"/>
                <w:szCs w:val="28"/>
              </w:rPr>
            </w:pPr>
          </w:p>
          <w:p w14:paraId="593410B6">
            <w:pPr>
              <w:rPr>
                <w:sz w:val="28"/>
                <w:szCs w:val="28"/>
              </w:rPr>
            </w:pPr>
          </w:p>
          <w:p w14:paraId="1509739F">
            <w:pPr>
              <w:rPr>
                <w:sz w:val="28"/>
                <w:szCs w:val="28"/>
              </w:rPr>
            </w:pPr>
            <w:r>
              <w:rPr>
                <w:rFonts w:hint="eastAsia" w:cs="宋体"/>
                <w:sz w:val="28"/>
                <w:szCs w:val="28"/>
              </w:rPr>
              <w:t>人防中心</w:t>
            </w:r>
          </w:p>
          <w:p w14:paraId="17D47E5F">
            <w:pPr>
              <w:rPr>
                <w:rFonts w:ascii="Arial"/>
              </w:rPr>
            </w:pPr>
            <w:r>
              <w:rPr>
                <w:rFonts w:hint="eastAsia" w:cs="宋体"/>
                <w:sz w:val="28"/>
                <w:szCs w:val="28"/>
              </w:rPr>
              <w:t>工程股</w:t>
            </w:r>
          </w:p>
        </w:tc>
      </w:tr>
      <w:tr w14:paraId="2BD9A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79" w:type="dxa"/>
            <w:gridSpan w:val="8"/>
          </w:tcPr>
          <w:p w14:paraId="2E463485">
            <w:pPr>
              <w:spacing w:line="248" w:lineRule="auto"/>
              <w:rPr>
                <w:rFonts w:ascii="Arial"/>
              </w:rPr>
            </w:pPr>
          </w:p>
          <w:p w14:paraId="0DB6CB38">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7318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5479" w:type="dxa"/>
            <w:gridSpan w:val="8"/>
          </w:tcPr>
          <w:p w14:paraId="0FC1F4ED">
            <w:pPr>
              <w:spacing w:line="262" w:lineRule="auto"/>
              <w:rPr>
                <w:rFonts w:ascii="Arial"/>
              </w:rPr>
            </w:pPr>
          </w:p>
          <w:p w14:paraId="2986E5DE">
            <w:pPr>
              <w:spacing w:before="78" w:line="221" w:lineRule="auto"/>
              <w:ind w:left="5"/>
              <w:rPr>
                <w:rFonts w:ascii="仿宋_GB2312" w:hAnsi="仿宋_GB2312" w:eastAsia="仿宋_GB2312" w:cs="仿宋_GB2312"/>
                <w:sz w:val="24"/>
                <w:szCs w:val="24"/>
                <w:shd w:val="clear" w:color="070000" w:fill="FFFFFF"/>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p w14:paraId="602DC9DE">
            <w:pPr>
              <w:spacing w:before="78" w:line="221" w:lineRule="auto"/>
              <w:ind w:left="5"/>
              <w:rPr>
                <w:rFonts w:ascii="仿宋_GB2312" w:hAnsi="仿宋_GB2312" w:eastAsia="仿宋_GB2312" w:cs="仿宋_GB2312"/>
                <w:sz w:val="24"/>
                <w:szCs w:val="24"/>
                <w:shd w:val="clear" w:color="070000" w:fill="FFFFFF"/>
              </w:rPr>
            </w:pPr>
          </w:p>
        </w:tc>
      </w:tr>
      <w:tr w14:paraId="64BB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5479" w:type="dxa"/>
            <w:gridSpan w:val="8"/>
          </w:tcPr>
          <w:tbl>
            <w:tblPr>
              <w:tblStyle w:val="8"/>
              <w:tblpPr w:leftFromText="180" w:rightFromText="180" w:vertAnchor="text" w:horzAnchor="page" w:tblpX="704" w:tblpY="26"/>
              <w:tblOverlap w:val="never"/>
              <w:tblW w:w="15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830"/>
              <w:gridCol w:w="3450"/>
              <w:gridCol w:w="900"/>
              <w:gridCol w:w="1395"/>
              <w:gridCol w:w="3984"/>
              <w:gridCol w:w="1639"/>
              <w:gridCol w:w="1673"/>
            </w:tblGrid>
            <w:tr w14:paraId="74B6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705" w:type="dxa"/>
                </w:tcPr>
                <w:p w14:paraId="18F01E1F">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30" w:type="dxa"/>
                </w:tcPr>
                <w:p w14:paraId="27DB7622">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450" w:type="dxa"/>
                </w:tcPr>
                <w:p w14:paraId="2598EAC0">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00" w:type="dxa"/>
                </w:tcPr>
                <w:p w14:paraId="3A9B4374">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715EA410">
                  <w:pPr>
                    <w:spacing w:before="1" w:line="209" w:lineRule="auto"/>
                    <w:ind w:left="287"/>
                    <w:rPr>
                      <w:rFonts w:ascii="宋体"/>
                      <w:sz w:val="24"/>
                      <w:szCs w:val="24"/>
                    </w:rPr>
                  </w:pPr>
                  <w:r>
                    <w:rPr>
                      <w:rFonts w:hint="eastAsia" w:ascii="宋体" w:hAnsi="宋体" w:cs="宋体"/>
                      <w:b/>
                      <w:bCs/>
                      <w:spacing w:val="3"/>
                      <w:sz w:val="24"/>
                      <w:szCs w:val="24"/>
                    </w:rPr>
                    <w:t>类别</w:t>
                  </w:r>
                </w:p>
              </w:tc>
              <w:tc>
                <w:tcPr>
                  <w:tcW w:w="1395" w:type="dxa"/>
                </w:tcPr>
                <w:p w14:paraId="4B2628CD">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984" w:type="dxa"/>
                </w:tcPr>
                <w:p w14:paraId="1EFAD26E">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39" w:type="dxa"/>
                </w:tcPr>
                <w:p w14:paraId="4752185F">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73" w:type="dxa"/>
                </w:tcPr>
                <w:p w14:paraId="5F0C6C63">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727A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2" w:hRule="atLeast"/>
              </w:trPr>
              <w:tc>
                <w:tcPr>
                  <w:tcW w:w="705" w:type="dxa"/>
                </w:tcPr>
                <w:p w14:paraId="65708FC7">
                  <w:pPr>
                    <w:spacing w:line="260" w:lineRule="auto"/>
                    <w:rPr>
                      <w:rFonts w:ascii="Arial"/>
                    </w:rPr>
                  </w:pPr>
                </w:p>
                <w:p w14:paraId="688090B2">
                  <w:pPr>
                    <w:spacing w:line="260" w:lineRule="auto"/>
                    <w:rPr>
                      <w:rFonts w:ascii="Arial"/>
                    </w:rPr>
                  </w:pPr>
                </w:p>
                <w:p w14:paraId="2D217D46">
                  <w:pPr>
                    <w:spacing w:line="260" w:lineRule="auto"/>
                    <w:rPr>
                      <w:rFonts w:ascii="Arial"/>
                    </w:rPr>
                  </w:pPr>
                </w:p>
                <w:p w14:paraId="074B581F">
                  <w:pPr>
                    <w:spacing w:line="260" w:lineRule="auto"/>
                    <w:rPr>
                      <w:rFonts w:ascii="Arial"/>
                    </w:rPr>
                  </w:pPr>
                </w:p>
                <w:p w14:paraId="4E6FE16C">
                  <w:pPr>
                    <w:spacing w:line="260" w:lineRule="auto"/>
                    <w:rPr>
                      <w:rFonts w:ascii="Arial"/>
                    </w:rPr>
                  </w:pPr>
                </w:p>
                <w:p w14:paraId="6D2C42FB">
                  <w:pPr>
                    <w:spacing w:line="261" w:lineRule="auto"/>
                    <w:rPr>
                      <w:rFonts w:ascii="Arial"/>
                    </w:rPr>
                  </w:pPr>
                </w:p>
                <w:p w14:paraId="17734173">
                  <w:pPr>
                    <w:spacing w:line="261" w:lineRule="auto"/>
                    <w:rPr>
                      <w:rFonts w:ascii="Arial"/>
                    </w:rPr>
                  </w:pPr>
                </w:p>
                <w:p w14:paraId="5E79E7F6">
                  <w:pPr>
                    <w:spacing w:before="78" w:line="184" w:lineRule="auto"/>
                    <w:ind w:left="504"/>
                    <w:rPr>
                      <w:rFonts w:ascii="宋体"/>
                      <w:sz w:val="24"/>
                      <w:szCs w:val="24"/>
                    </w:rPr>
                  </w:pPr>
                </w:p>
                <w:p w14:paraId="580794DB">
                  <w:pPr>
                    <w:spacing w:before="78" w:line="184" w:lineRule="auto"/>
                    <w:ind w:left="504"/>
                    <w:rPr>
                      <w:rFonts w:ascii="宋体"/>
                      <w:sz w:val="24"/>
                      <w:szCs w:val="24"/>
                    </w:rPr>
                  </w:pPr>
                </w:p>
                <w:p w14:paraId="65DC9466">
                  <w:pPr>
                    <w:spacing w:before="78" w:line="184" w:lineRule="auto"/>
                    <w:ind w:left="504"/>
                    <w:rPr>
                      <w:rFonts w:ascii="宋体"/>
                      <w:sz w:val="24"/>
                      <w:szCs w:val="24"/>
                    </w:rPr>
                  </w:pPr>
                </w:p>
                <w:p w14:paraId="63E6F1D6">
                  <w:pPr>
                    <w:spacing w:before="78" w:line="184" w:lineRule="auto"/>
                    <w:ind w:left="504"/>
                    <w:rPr>
                      <w:rFonts w:ascii="宋体"/>
                      <w:sz w:val="24"/>
                      <w:szCs w:val="24"/>
                    </w:rPr>
                  </w:pPr>
                </w:p>
                <w:p w14:paraId="342CBF9B">
                  <w:pPr>
                    <w:spacing w:before="78" w:line="184" w:lineRule="auto"/>
                    <w:ind w:left="504"/>
                    <w:rPr>
                      <w:rFonts w:ascii="宋体"/>
                      <w:sz w:val="24"/>
                      <w:szCs w:val="24"/>
                    </w:rPr>
                  </w:pPr>
                </w:p>
                <w:p w14:paraId="5474B0AA">
                  <w:pPr>
                    <w:spacing w:before="78" w:line="184" w:lineRule="auto"/>
                    <w:ind w:left="504"/>
                    <w:rPr>
                      <w:rFonts w:ascii="宋体"/>
                      <w:sz w:val="24"/>
                      <w:szCs w:val="24"/>
                    </w:rPr>
                  </w:pPr>
                </w:p>
                <w:p w14:paraId="782BA9F5">
                  <w:pPr>
                    <w:spacing w:before="78" w:line="184" w:lineRule="auto"/>
                    <w:rPr>
                      <w:rFonts w:hint="default" w:ascii="宋体" w:eastAsia="宋体"/>
                      <w:sz w:val="24"/>
                      <w:szCs w:val="24"/>
                      <w:lang w:val="en-US" w:eastAsia="zh-CN"/>
                    </w:rPr>
                  </w:pPr>
                  <w:r>
                    <w:rPr>
                      <w:rFonts w:hint="eastAsia" w:ascii="宋体" w:hAnsi="宋体" w:cs="宋体"/>
                      <w:sz w:val="24"/>
                      <w:szCs w:val="24"/>
                      <w:lang w:val="en-US" w:eastAsia="zh-CN"/>
                    </w:rPr>
                    <w:t>7</w:t>
                  </w:r>
                </w:p>
              </w:tc>
              <w:tc>
                <w:tcPr>
                  <w:tcW w:w="1830" w:type="dxa"/>
                </w:tcPr>
                <w:p w14:paraId="6B2BF669">
                  <w:pPr>
                    <w:rPr>
                      <w:rFonts w:ascii="Arial"/>
                    </w:rPr>
                  </w:pPr>
                  <w:r>
                    <w:rPr>
                      <w:rFonts w:hint="default" w:ascii="仿宋_GB2312" w:hAnsi="Calibri" w:eastAsia="仿宋_GB2312" w:cs="仿宋_GB2312"/>
                      <w:sz w:val="24"/>
                      <w:szCs w:val="24"/>
                    </w:rPr>
                    <w:t>不建防空地下室的处罚</w:t>
                  </w:r>
                </w:p>
              </w:tc>
              <w:tc>
                <w:tcPr>
                  <w:tcW w:w="3450" w:type="dxa"/>
                </w:tcPr>
                <w:p w14:paraId="5526BF91">
                  <w:pPr>
                    <w:rPr>
                      <w:rFonts w:ascii="仿宋" w:hAnsi="仿宋" w:eastAsia="仿宋"/>
                      <w:color w:val="000000"/>
                      <w:kern w:val="0"/>
                      <w:sz w:val="22"/>
                      <w:szCs w:val="22"/>
                    </w:rPr>
                  </w:pPr>
                </w:p>
                <w:p w14:paraId="1357131B">
                  <w:pPr>
                    <w:rPr>
                      <w:rFonts w:ascii="仿宋" w:hAnsi="仿宋" w:eastAsia="仿宋"/>
                      <w:color w:val="000000"/>
                      <w:kern w:val="0"/>
                      <w:sz w:val="22"/>
                      <w:szCs w:val="22"/>
                    </w:rPr>
                  </w:pPr>
                </w:p>
                <w:p w14:paraId="29A40A22">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中华人民共和国人民防空法》第四十八条：“城市新建民用建筑，违反国家有关规定不修建战时可用于防空的地下室的，由县级以上人民政府人民防空主管部门对当事人给予警告，并责令限期修建，可以并处十万元以下的罚款。”   </w:t>
                  </w:r>
                </w:p>
                <w:p w14:paraId="470DFCCB">
                  <w:pPr>
                    <w:rPr>
                      <w:rFonts w:ascii="Arial"/>
                    </w:rPr>
                  </w:pPr>
                  <w:r>
                    <w:rPr>
                      <w:rFonts w:hint="eastAsia" w:ascii="仿宋" w:hAnsi="仿宋" w:eastAsia="仿宋" w:cs="仿宋"/>
                      <w:color w:val="000000"/>
                      <w:kern w:val="0"/>
                      <w:sz w:val="22"/>
                      <w:szCs w:val="22"/>
                    </w:rPr>
                    <w:t>2.《河南省实施&lt;中华人民共和国人民防空法&gt;办法》（1998年7月24日河南省第九届人民代表大会常务委员会第四次会议通过）第二十八条：“城市新建民用建筑，违反《人民防空法》和本办法第十二条规定不修建战时可用于防空的地下室、又不缴纳易地建设费的，由县级以上人民防空主管部门对当事人给予警告，责令限期修建或补缴易地建设费，可以并处应当修建防空地下室建筑面积每平方米三十元以上五十元以下的罚款，但罚款最高不超过十万元。”</w:t>
                  </w:r>
                </w:p>
              </w:tc>
              <w:tc>
                <w:tcPr>
                  <w:tcW w:w="900" w:type="dxa"/>
                </w:tcPr>
                <w:p w14:paraId="01D30E8F">
                  <w:pPr>
                    <w:rPr>
                      <w:rFonts w:ascii="仿宋" w:hAnsi="仿宋" w:eastAsia="仿宋"/>
                      <w:color w:val="000000"/>
                      <w:kern w:val="0"/>
                      <w:sz w:val="30"/>
                      <w:szCs w:val="30"/>
                    </w:rPr>
                  </w:pPr>
                </w:p>
                <w:p w14:paraId="378EA3F7">
                  <w:pPr>
                    <w:rPr>
                      <w:rFonts w:hint="eastAsia" w:ascii="Arial" w:eastAsia="宋体"/>
                      <w:lang w:val="en-US" w:eastAsia="zh-CN"/>
                    </w:rPr>
                  </w:pPr>
                  <w:r>
                    <w:rPr>
                      <w:rFonts w:hint="eastAsia" w:ascii="Arial"/>
                      <w:lang w:val="en-US" w:eastAsia="zh-CN"/>
                    </w:rPr>
                    <w:t>行政处罚</w:t>
                  </w:r>
                </w:p>
              </w:tc>
              <w:tc>
                <w:tcPr>
                  <w:tcW w:w="1395" w:type="dxa"/>
                </w:tcPr>
                <w:p w14:paraId="56E0F5F8">
                  <w:pPr>
                    <w:rPr>
                      <w:rFonts w:hint="default" w:ascii="Arial" w:eastAsia="宋体"/>
                      <w:lang w:val="en-US" w:eastAsia="zh-CN"/>
                    </w:rPr>
                  </w:pPr>
                  <w:r>
                    <w:rPr>
                      <w:rFonts w:ascii="宋体" w:hAnsi="宋体" w:cs="宋体"/>
                      <w:sz w:val="30"/>
                      <w:szCs w:val="30"/>
                    </w:rPr>
                    <w:t>1.</w:t>
                  </w:r>
                  <w:r>
                    <w:rPr>
                      <w:rFonts w:hint="eastAsia" w:ascii="宋体" w:hAnsi="宋体" w:cs="宋体"/>
                      <w:sz w:val="30"/>
                      <w:szCs w:val="30"/>
                    </w:rPr>
                    <w:t>立案</w:t>
                  </w:r>
                  <w:r>
                    <w:rPr>
                      <w:rFonts w:ascii="宋体" w:hAnsi="宋体" w:cs="宋体"/>
                      <w:sz w:val="30"/>
                      <w:szCs w:val="30"/>
                    </w:rPr>
                    <w:t>,2.</w:t>
                  </w:r>
                  <w:r>
                    <w:rPr>
                      <w:rFonts w:hint="eastAsia" w:ascii="宋体" w:hAnsi="宋体" w:cs="宋体"/>
                      <w:sz w:val="30"/>
                      <w:szCs w:val="30"/>
                    </w:rPr>
                    <w:t>调查，</w:t>
                  </w:r>
                  <w:r>
                    <w:rPr>
                      <w:rFonts w:ascii="宋体" w:hAnsi="宋体" w:cs="宋体"/>
                      <w:sz w:val="30"/>
                      <w:szCs w:val="30"/>
                    </w:rPr>
                    <w:t>3.</w:t>
                  </w:r>
                  <w:r>
                    <w:rPr>
                      <w:rFonts w:hint="eastAsia" w:ascii="宋体" w:hAnsi="宋体" w:cs="宋体"/>
                      <w:sz w:val="30"/>
                      <w:szCs w:val="30"/>
                    </w:rPr>
                    <w:t>审查，</w:t>
                  </w:r>
                  <w:r>
                    <w:rPr>
                      <w:rFonts w:ascii="宋体" w:hAnsi="宋体" w:cs="宋体"/>
                      <w:sz w:val="30"/>
                      <w:szCs w:val="30"/>
                    </w:rPr>
                    <w:t>4.</w:t>
                  </w:r>
                  <w:r>
                    <w:rPr>
                      <w:rFonts w:hint="eastAsia" w:ascii="宋体" w:hAnsi="宋体" w:cs="宋体"/>
                      <w:sz w:val="30"/>
                      <w:szCs w:val="30"/>
                    </w:rPr>
                    <w:t>告知，</w:t>
                  </w:r>
                  <w:r>
                    <w:rPr>
                      <w:rFonts w:ascii="宋体" w:hAnsi="宋体" w:cs="宋体"/>
                      <w:sz w:val="30"/>
                      <w:szCs w:val="30"/>
                    </w:rPr>
                    <w:t>5.</w:t>
                  </w:r>
                  <w:r>
                    <w:rPr>
                      <w:rFonts w:hint="eastAsia" w:ascii="宋体" w:hAnsi="宋体" w:cs="宋体"/>
                      <w:sz w:val="30"/>
                      <w:szCs w:val="30"/>
                    </w:rPr>
                    <w:t>决定</w:t>
                  </w:r>
                  <w:r>
                    <w:rPr>
                      <w:rFonts w:hint="eastAsia" w:ascii="宋体" w:hAnsi="宋体" w:cs="宋体"/>
                      <w:sz w:val="30"/>
                      <w:szCs w:val="30"/>
                      <w:lang w:eastAsia="zh-CN"/>
                    </w:rPr>
                    <w:t>，</w:t>
                  </w:r>
                  <w:r>
                    <w:rPr>
                      <w:rFonts w:hint="eastAsia" w:ascii="宋体" w:hAnsi="宋体" w:cs="宋体"/>
                      <w:sz w:val="30"/>
                      <w:szCs w:val="30"/>
                      <w:lang w:val="en-US" w:eastAsia="zh-CN"/>
                    </w:rPr>
                    <w:t>6.送达，7.执行</w:t>
                  </w:r>
                </w:p>
              </w:tc>
              <w:tc>
                <w:tcPr>
                  <w:tcW w:w="3984" w:type="dxa"/>
                </w:tcPr>
                <w:p w14:paraId="5493E8CD">
                  <w:pPr>
                    <w:widowControl/>
                    <w:jc w:val="left"/>
                    <w:rPr>
                      <w:rFonts w:hint="default" w:ascii="仿宋_GB2312" w:hAnsi="仿宋_GB2312" w:eastAsia="仿宋_GB2312" w:cs="仿宋_GB2312"/>
                      <w:color w:val="000000"/>
                      <w:kern w:val="0"/>
                      <w:sz w:val="24"/>
                      <w:szCs w:val="24"/>
                      <w:lang w:val="en-US" w:eastAsia="zh-CN"/>
                    </w:rPr>
                  </w:pPr>
                  <w:r>
                    <w:rPr>
                      <w:sz w:val="24"/>
                      <w:szCs w:val="24"/>
                    </w:rPr>
                    <w:t>1.</w:t>
                  </w:r>
                  <w:r>
                    <w:rPr>
                      <w:rFonts w:hint="eastAsia" w:cs="宋体"/>
                      <w:sz w:val="24"/>
                      <w:szCs w:val="24"/>
                    </w:rPr>
                    <w:t>立案；</w:t>
                  </w:r>
                  <w:r>
                    <w:rPr>
                      <w:rFonts w:hint="eastAsia" w:ascii="仿宋_GB2312" w:hAnsi="仿宋_GB2312" w:eastAsia="仿宋_GB2312" w:cs="仿宋_GB2312"/>
                      <w:color w:val="000000"/>
                      <w:kern w:val="0"/>
                      <w:sz w:val="24"/>
                      <w:szCs w:val="24"/>
                    </w:rPr>
                    <w:t>对检查中发现、接到举报不建、少建防空地下室违法案件予以审查，决定是否立案。</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调查；对立案的案件，案件承办人员应及时、全面、客观、公正地调查收集与案件有关的证据，查明事实，必要时可进行现场检查。与当事人有直接利害关系的人应当回避；执法人员不得少于2人；调查取证应出示执法证件；允许当事人辩解陈述。</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审查；对案件违法事实、证据、调查取证程序、法律适用、处罚种类和幅度、当事人陈述和申辩理由等方面进行审查，提出处理意见。</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告知；在做出行政处罚决定前，书面告知当事人拟做出处罚决定的事实、理由、依据、处罚内容，以及当事人享有的陈述权、申辩权和听证权。</w:t>
                  </w:r>
                  <w:r>
                    <w:rPr>
                      <w:sz w:val="24"/>
                      <w:szCs w:val="24"/>
                    </w:rPr>
                    <w:t>5.</w:t>
                  </w:r>
                  <w:r>
                    <w:rPr>
                      <w:rFonts w:hint="eastAsia" w:cs="宋体"/>
                      <w:sz w:val="24"/>
                      <w:szCs w:val="24"/>
                    </w:rPr>
                    <w:t>决定；</w:t>
                  </w:r>
                  <w:r>
                    <w:rPr>
                      <w:rFonts w:hint="eastAsia" w:ascii="仿宋_GB2312" w:hAnsi="仿宋_GB2312" w:eastAsia="仿宋_GB2312" w:cs="仿宋_GB2312"/>
                      <w:color w:val="000000"/>
                      <w:kern w:val="0"/>
                      <w:sz w:val="24"/>
                      <w:szCs w:val="24"/>
                    </w:rPr>
                    <w:t>依法需要给予行政处罚的，应制作《行政处罚决定书》，载明违法事实和证据、处罚依据和内容、申请行政复议或提起行政诉讼的途径和期限等内容。</w:t>
                  </w:r>
                  <w:r>
                    <w:rPr>
                      <w:rFonts w:hint="eastAsia" w:ascii="仿宋_GB2312" w:hAnsi="仿宋_GB2312" w:eastAsia="仿宋_GB2312" w:cs="仿宋_GB2312"/>
                      <w:color w:val="000000"/>
                      <w:kern w:val="0"/>
                      <w:sz w:val="24"/>
                      <w:szCs w:val="24"/>
                      <w:lang w:val="en-US" w:eastAsia="zh-CN"/>
                    </w:rPr>
                    <w:t>6.送达；行政处罚决定书应当在宣告后当场交付当事人；当事人不在场的，行政机关应当在7日内依照民事诉讼法的有关规定，将行政处罚决定书送达当事人。7.执行；监督当事人在决定的期限内（15日内），履行生效的行政处罚决定。当事人在法定期限内没有申请行政复议或提起行政诉讼，又不履行的，可申请人民法院强制执行。</w:t>
                  </w:r>
                </w:p>
                <w:p w14:paraId="1EFB1369">
                  <w:pPr>
                    <w:rPr>
                      <w:rFonts w:ascii="Arial"/>
                    </w:rPr>
                  </w:pPr>
                </w:p>
                <w:p w14:paraId="79567227">
                  <w:pPr>
                    <w:jc w:val="center"/>
                    <w:rPr>
                      <w:rFonts w:ascii="Arial" w:hAnsi="Arial" w:eastAsia="Times New Roman"/>
                      <w:snapToGrid w:val="0"/>
                      <w:color w:val="000000"/>
                      <w:kern w:val="0"/>
                    </w:rPr>
                  </w:pPr>
                </w:p>
              </w:tc>
              <w:tc>
                <w:tcPr>
                  <w:tcW w:w="1639" w:type="dxa"/>
                </w:tcPr>
                <w:p w14:paraId="1FA95984">
                  <w:pPr>
                    <w:rPr>
                      <w:rFonts w:ascii="Arial"/>
                    </w:rPr>
                  </w:pPr>
                </w:p>
              </w:tc>
              <w:tc>
                <w:tcPr>
                  <w:tcW w:w="1673" w:type="dxa"/>
                </w:tcPr>
                <w:p w14:paraId="6D9DFA2F">
                  <w:pPr>
                    <w:rPr>
                      <w:sz w:val="28"/>
                      <w:szCs w:val="28"/>
                    </w:rPr>
                  </w:pPr>
                </w:p>
                <w:p w14:paraId="4D62D911">
                  <w:pPr>
                    <w:rPr>
                      <w:sz w:val="28"/>
                      <w:szCs w:val="28"/>
                    </w:rPr>
                  </w:pPr>
                </w:p>
                <w:p w14:paraId="1DE1775E">
                  <w:pPr>
                    <w:rPr>
                      <w:sz w:val="28"/>
                      <w:szCs w:val="28"/>
                    </w:rPr>
                  </w:pPr>
                </w:p>
                <w:p w14:paraId="018E3663">
                  <w:pPr>
                    <w:rPr>
                      <w:sz w:val="28"/>
                      <w:szCs w:val="28"/>
                    </w:rPr>
                  </w:pPr>
                </w:p>
                <w:p w14:paraId="72EADAD4">
                  <w:pPr>
                    <w:rPr>
                      <w:sz w:val="28"/>
                      <w:szCs w:val="28"/>
                    </w:rPr>
                  </w:pPr>
                </w:p>
                <w:p w14:paraId="6BB2DEA1">
                  <w:pPr>
                    <w:rPr>
                      <w:sz w:val="28"/>
                      <w:szCs w:val="28"/>
                    </w:rPr>
                  </w:pPr>
                </w:p>
                <w:p w14:paraId="5660F27F">
                  <w:pPr>
                    <w:rPr>
                      <w:sz w:val="28"/>
                      <w:szCs w:val="28"/>
                    </w:rPr>
                  </w:pPr>
                </w:p>
                <w:p w14:paraId="0AD7FBAE">
                  <w:pPr>
                    <w:rPr>
                      <w:sz w:val="28"/>
                      <w:szCs w:val="28"/>
                    </w:rPr>
                  </w:pPr>
                </w:p>
                <w:p w14:paraId="38498627">
                  <w:pPr>
                    <w:rPr>
                      <w:sz w:val="28"/>
                      <w:szCs w:val="28"/>
                    </w:rPr>
                  </w:pPr>
                </w:p>
                <w:p w14:paraId="2FA5E1B2">
                  <w:pPr>
                    <w:rPr>
                      <w:sz w:val="28"/>
                      <w:szCs w:val="28"/>
                    </w:rPr>
                  </w:pPr>
                </w:p>
                <w:p w14:paraId="0DE687AF">
                  <w:pPr>
                    <w:rPr>
                      <w:sz w:val="28"/>
                      <w:szCs w:val="28"/>
                    </w:rPr>
                  </w:pPr>
                </w:p>
                <w:p w14:paraId="2AC372C7">
                  <w:pPr>
                    <w:rPr>
                      <w:sz w:val="28"/>
                      <w:szCs w:val="28"/>
                    </w:rPr>
                  </w:pPr>
                  <w:r>
                    <w:rPr>
                      <w:rFonts w:hint="eastAsia" w:cs="宋体"/>
                      <w:sz w:val="28"/>
                      <w:szCs w:val="28"/>
                    </w:rPr>
                    <w:t>人防中心</w:t>
                  </w:r>
                </w:p>
                <w:p w14:paraId="308603A6">
                  <w:pPr>
                    <w:rPr>
                      <w:rFonts w:ascii="Arial"/>
                    </w:rPr>
                  </w:pPr>
                  <w:r>
                    <w:rPr>
                      <w:rFonts w:hint="eastAsia" w:cs="宋体"/>
                      <w:sz w:val="28"/>
                      <w:szCs w:val="28"/>
                    </w:rPr>
                    <w:t>工程股</w:t>
                  </w:r>
                </w:p>
              </w:tc>
            </w:tr>
            <w:tr w14:paraId="2929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6" w:type="dxa"/>
                  <w:gridSpan w:val="8"/>
                </w:tcPr>
                <w:p w14:paraId="3DA7053A">
                  <w:pPr>
                    <w:spacing w:line="248" w:lineRule="auto"/>
                    <w:rPr>
                      <w:rFonts w:ascii="Arial"/>
                    </w:rPr>
                  </w:pPr>
                </w:p>
                <w:p w14:paraId="734CE77E">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1D9A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5576" w:type="dxa"/>
                  <w:gridSpan w:val="8"/>
                </w:tcPr>
                <w:p w14:paraId="36241357">
                  <w:pPr>
                    <w:spacing w:line="262" w:lineRule="auto"/>
                    <w:rPr>
                      <w:rFonts w:ascii="Arial"/>
                    </w:rPr>
                  </w:pPr>
                </w:p>
                <w:p w14:paraId="3D077462">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tbl>
            <w:tblPr>
              <w:tblStyle w:val="8"/>
              <w:tblpPr w:leftFromText="180" w:rightFromText="180" w:vertAnchor="text" w:horzAnchor="page" w:tblpX="705" w:tblpY="278"/>
              <w:tblOverlap w:val="never"/>
              <w:tblW w:w="15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849"/>
              <w:gridCol w:w="3609"/>
              <w:gridCol w:w="738"/>
              <w:gridCol w:w="1479"/>
              <w:gridCol w:w="3348"/>
              <w:gridCol w:w="1639"/>
              <w:gridCol w:w="1673"/>
            </w:tblGrid>
            <w:tr w14:paraId="55B2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44" w:type="dxa"/>
                </w:tcPr>
                <w:p w14:paraId="0882FA55">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49" w:type="dxa"/>
                </w:tcPr>
                <w:p w14:paraId="447C5B88">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609" w:type="dxa"/>
                </w:tcPr>
                <w:p w14:paraId="010AE1A0">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738" w:type="dxa"/>
                </w:tcPr>
                <w:p w14:paraId="3AF3BBEF">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11914320">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9" w:type="dxa"/>
                </w:tcPr>
                <w:p w14:paraId="0BAC630B">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348" w:type="dxa"/>
                </w:tcPr>
                <w:p w14:paraId="5180B350">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39" w:type="dxa"/>
                </w:tcPr>
                <w:p w14:paraId="4A3995D0">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73" w:type="dxa"/>
                </w:tcPr>
                <w:p w14:paraId="4467F71B">
                  <w:pPr>
                    <w:spacing w:before="199" w:line="219" w:lineRule="auto"/>
                    <w:ind w:left="352"/>
                    <w:rPr>
                      <w:rFonts w:ascii="宋体"/>
                      <w:sz w:val="24"/>
                      <w:szCs w:val="24"/>
                    </w:rPr>
                  </w:pPr>
                  <w:r>
                    <w:rPr>
                      <w:rFonts w:hint="eastAsia" w:ascii="宋体" w:hAnsi="宋体" w:cs="宋体"/>
                      <w:b/>
                      <w:bCs/>
                      <w:spacing w:val="-2"/>
                      <w:sz w:val="24"/>
                      <w:szCs w:val="24"/>
                    </w:rPr>
                    <w:t>责任科室</w:t>
                  </w:r>
                </w:p>
              </w:tc>
            </w:tr>
          </w:tbl>
          <w:tbl>
            <w:tblPr>
              <w:tblStyle w:val="8"/>
              <w:tblpPr w:leftFromText="180" w:rightFromText="180" w:vertAnchor="text" w:horzAnchor="page" w:tblpX="710" w:tblpY="306"/>
              <w:tblOverlap w:val="never"/>
              <w:tblW w:w="15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1599"/>
              <w:gridCol w:w="3945"/>
              <w:gridCol w:w="720"/>
              <w:gridCol w:w="1230"/>
              <w:gridCol w:w="3591"/>
              <w:gridCol w:w="1620"/>
              <w:gridCol w:w="1695"/>
            </w:tblGrid>
            <w:tr w14:paraId="3241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7" w:hRule="atLeast"/>
              </w:trPr>
              <w:tc>
                <w:tcPr>
                  <w:tcW w:w="1065" w:type="dxa"/>
                </w:tcPr>
                <w:p w14:paraId="6955C900">
                  <w:pPr>
                    <w:spacing w:line="260" w:lineRule="auto"/>
                    <w:rPr>
                      <w:rFonts w:ascii="Arial"/>
                    </w:rPr>
                  </w:pPr>
                </w:p>
                <w:p w14:paraId="01D2FB81">
                  <w:pPr>
                    <w:spacing w:line="260" w:lineRule="auto"/>
                    <w:rPr>
                      <w:rFonts w:ascii="Arial"/>
                    </w:rPr>
                  </w:pPr>
                </w:p>
                <w:p w14:paraId="0457C9E5">
                  <w:pPr>
                    <w:spacing w:line="260" w:lineRule="auto"/>
                    <w:rPr>
                      <w:rFonts w:ascii="Arial"/>
                    </w:rPr>
                  </w:pPr>
                </w:p>
                <w:p w14:paraId="2CD1B478">
                  <w:pPr>
                    <w:spacing w:line="260" w:lineRule="auto"/>
                    <w:rPr>
                      <w:rFonts w:ascii="Arial"/>
                    </w:rPr>
                  </w:pPr>
                </w:p>
                <w:p w14:paraId="103DF838">
                  <w:pPr>
                    <w:spacing w:line="260" w:lineRule="auto"/>
                    <w:rPr>
                      <w:rFonts w:ascii="Arial"/>
                    </w:rPr>
                  </w:pPr>
                </w:p>
                <w:p w14:paraId="4F47363F">
                  <w:pPr>
                    <w:spacing w:before="78" w:line="184" w:lineRule="auto"/>
                    <w:rPr>
                      <w:rFonts w:ascii="宋体"/>
                      <w:sz w:val="24"/>
                      <w:szCs w:val="24"/>
                    </w:rPr>
                  </w:pPr>
                  <w:r>
                    <w:rPr>
                      <w:rFonts w:ascii="宋体" w:hAnsi="宋体" w:cs="宋体"/>
                      <w:sz w:val="24"/>
                      <w:szCs w:val="24"/>
                    </w:rPr>
                    <w:t xml:space="preserve">  </w:t>
                  </w:r>
                </w:p>
                <w:p w14:paraId="6F661DE7">
                  <w:pPr>
                    <w:spacing w:before="78" w:line="184" w:lineRule="auto"/>
                    <w:rPr>
                      <w:rFonts w:ascii="宋体"/>
                      <w:sz w:val="24"/>
                      <w:szCs w:val="24"/>
                    </w:rPr>
                  </w:pPr>
                </w:p>
                <w:p w14:paraId="6E155988">
                  <w:pPr>
                    <w:spacing w:before="78" w:line="184" w:lineRule="auto"/>
                    <w:ind w:firstLine="480" w:firstLineChars="200"/>
                    <w:rPr>
                      <w:rFonts w:hint="default" w:ascii="宋体" w:eastAsia="宋体"/>
                      <w:sz w:val="24"/>
                      <w:szCs w:val="24"/>
                      <w:lang w:val="en-US" w:eastAsia="zh-CN"/>
                    </w:rPr>
                  </w:pPr>
                  <w:r>
                    <w:rPr>
                      <w:rFonts w:hint="eastAsia" w:ascii="宋体" w:hAnsi="宋体" w:cs="宋体"/>
                      <w:sz w:val="24"/>
                      <w:szCs w:val="24"/>
                      <w:lang w:val="en-US" w:eastAsia="zh-CN"/>
                    </w:rPr>
                    <w:t>8</w:t>
                  </w:r>
                </w:p>
              </w:tc>
              <w:tc>
                <w:tcPr>
                  <w:tcW w:w="1599" w:type="dxa"/>
                </w:tcPr>
                <w:p w14:paraId="4DD97D9B">
                  <w:pPr>
                    <w:rPr>
                      <w:rFonts w:ascii="仿宋_GB2312" w:hAnsi="宋体" w:eastAsia="仿宋_GB2312"/>
                      <w:color w:val="000000"/>
                      <w:kern w:val="0"/>
                      <w:sz w:val="28"/>
                      <w:szCs w:val="28"/>
                    </w:rPr>
                  </w:pPr>
                </w:p>
                <w:p w14:paraId="18E33397">
                  <w:pPr>
                    <w:rPr>
                      <w:rFonts w:ascii="仿宋_GB2312" w:hAnsi="宋体" w:eastAsia="仿宋_GB2312"/>
                      <w:color w:val="000000"/>
                      <w:kern w:val="0"/>
                      <w:sz w:val="28"/>
                      <w:szCs w:val="28"/>
                    </w:rPr>
                  </w:pPr>
                </w:p>
                <w:p w14:paraId="7D4B523C">
                  <w:pPr>
                    <w:rPr>
                      <w:rFonts w:ascii="仿宋_GB2312" w:hAnsi="宋体" w:eastAsia="仿宋_GB2312"/>
                      <w:color w:val="000000"/>
                      <w:kern w:val="0"/>
                      <w:sz w:val="28"/>
                      <w:szCs w:val="28"/>
                    </w:rPr>
                  </w:pPr>
                </w:p>
                <w:p w14:paraId="24FD43AA">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侵占人民防空工程；不按照国家规定的防护标准和质量标准修建人民防空工程的；违反国家规定，改变人民防空工程的主体结构，拆除人民防空工程设备设施或者采用其他方法危害人民防空工程的安全和使用效能的；拆除人民防空工程后拒不补建的；占用人民防空通信专用频率、使用与防空警报相同的音响信号或者擅自拆除人民防空通信、警报设施的；向人民防空工程内排入废水、废气或者倾倒废弃物的处罚</w:t>
                  </w:r>
                </w:p>
                <w:p w14:paraId="08F33E29">
                  <w:pPr>
                    <w:rPr>
                      <w:rFonts w:hint="eastAsia" w:ascii="仿宋" w:hAnsi="仿宋" w:eastAsia="仿宋" w:cs="仿宋"/>
                      <w:color w:val="000000"/>
                      <w:kern w:val="0"/>
                      <w:sz w:val="22"/>
                      <w:szCs w:val="22"/>
                    </w:rPr>
                  </w:pPr>
                </w:p>
                <w:p w14:paraId="323008B0">
                  <w:pPr>
                    <w:rPr>
                      <w:rFonts w:ascii="仿宋_GB2312" w:hAnsi="宋体" w:eastAsia="仿宋_GB2312"/>
                      <w:color w:val="000000"/>
                      <w:kern w:val="0"/>
                      <w:sz w:val="28"/>
                      <w:szCs w:val="28"/>
                    </w:rPr>
                  </w:pPr>
                </w:p>
                <w:p w14:paraId="1C81A543">
                  <w:pPr>
                    <w:rPr>
                      <w:rFonts w:ascii="仿宋_GB2312" w:hAnsi="宋体" w:eastAsia="仿宋_GB2312"/>
                      <w:color w:val="000000"/>
                      <w:kern w:val="0"/>
                      <w:sz w:val="28"/>
                      <w:szCs w:val="28"/>
                    </w:rPr>
                  </w:pPr>
                </w:p>
                <w:p w14:paraId="53C64F53">
                  <w:pPr>
                    <w:rPr>
                      <w:rFonts w:ascii="仿宋_GB2312" w:hAnsi="宋体" w:eastAsia="仿宋_GB2312"/>
                      <w:color w:val="000000"/>
                      <w:kern w:val="0"/>
                      <w:sz w:val="28"/>
                      <w:szCs w:val="28"/>
                    </w:rPr>
                  </w:pPr>
                </w:p>
                <w:p w14:paraId="7483A48B">
                  <w:pPr>
                    <w:rPr>
                      <w:rFonts w:ascii="Arial"/>
                    </w:rPr>
                  </w:pPr>
                </w:p>
              </w:tc>
              <w:tc>
                <w:tcPr>
                  <w:tcW w:w="3945" w:type="dxa"/>
                </w:tcPr>
                <w:p w14:paraId="218F691E">
                  <w:pPr>
                    <w:rPr>
                      <w:rFonts w:ascii="Arial"/>
                    </w:rPr>
                  </w:pPr>
                  <w:r>
                    <w:rPr>
                      <w:rFonts w:hint="eastAsia" w:ascii="仿宋" w:hAnsi="仿宋" w:eastAsia="仿宋" w:cs="仿宋"/>
                      <w:color w:val="000000"/>
                      <w:kern w:val="0"/>
                      <w:sz w:val="22"/>
                      <w:szCs w:val="22"/>
                    </w:rPr>
                    <w:t>《河南省实施&lt;中华人民共和国人民防空法&gt;办法》（1998年7月24日河南省第九届人民代表大会常务委员会第四次会议通过）第二十九条：“有下列行为之一的，由县级以上人民防空主管部门对当事人给予警告，并责令限期改正违法行为，可按照下列规定并处罚款；造成损失的，当事人应当依法赔偿损失：（一）侵占人民防空工程，面积不足一百平方米的，对个人处以一千元以上二千元以下罚款，对单位处以一万元以上二万元以下罚款；面积在一百平方米以上的，对个人处以二千元以上五千元以下罚款，对单位处以二万元以上五万元以下罚款。（二）不按照国家规定的防护标准和质量标准修建人民防空工程的，处以一万元以上五万元以下罚款。（三）违反国家规定，改变人民防空工程的主体结构，拆除人民防空工程设备设施或者采用其他方法危害人民防空工程的安全和使用效能的，对个人处以一千元以上三千元以下罚款，对单位处以一万元以上五万元以下罚款。（四）拆除人民防空工程后拒不补建，面积不足一百平方米的，对个人处以二千元以上三千元以下罚款，对单位处以一万元以上三万元以下罚款；面积在一百平方米以上的，对个人处以三千元以上五千元以下罚款，对单位处以三万元以上五万元以下罚款。（五）占用人民防空通信专用频率、使用与防空警报相同的音响信号或者擅自拆除人民防空通信、警报设施的，对个人处以二千元以上三千元以下罚款，情节严重的，处以三千元以上五千元以下罚款；对单位处以一万元以上三万元以下罚款，情节严重的，处以三万元以上五万元以下罚款。（六）阻挠安装人民防空通信、警报设施，拒不改正的，对个人处以二千元以上五千元以下罚款，对单位处以一万元以上五万元以下罚款。（七）向人民防空工程内排入废水、废气或者倾倒废弃物的，对个人处以三百元以上一千元以下的罚款，情节严重的，处以二千元以上三千元以下罚款；对单位处以五千元以上一万元以下罚款，情节严重的，处以一万元以上五万元以下罚款。”</w:t>
                  </w:r>
                </w:p>
              </w:tc>
              <w:tc>
                <w:tcPr>
                  <w:tcW w:w="720" w:type="dxa"/>
                </w:tcPr>
                <w:p w14:paraId="4B7DF981">
                  <w:pPr>
                    <w:rPr>
                      <w:rFonts w:ascii="仿宋" w:hAnsi="仿宋" w:eastAsia="仿宋"/>
                      <w:color w:val="000000"/>
                      <w:kern w:val="0"/>
                      <w:sz w:val="30"/>
                      <w:szCs w:val="30"/>
                    </w:rPr>
                  </w:pPr>
                </w:p>
                <w:p w14:paraId="15EB94FB">
                  <w:pPr>
                    <w:rPr>
                      <w:rFonts w:ascii="仿宋" w:hAnsi="仿宋" w:eastAsia="仿宋"/>
                      <w:color w:val="000000"/>
                      <w:kern w:val="0"/>
                      <w:sz w:val="30"/>
                      <w:szCs w:val="30"/>
                    </w:rPr>
                  </w:pPr>
                </w:p>
                <w:p w14:paraId="2CFB44FC">
                  <w:pPr>
                    <w:rPr>
                      <w:rFonts w:ascii="仿宋" w:hAnsi="仿宋" w:eastAsia="仿宋"/>
                      <w:color w:val="000000"/>
                      <w:kern w:val="0"/>
                      <w:sz w:val="30"/>
                      <w:szCs w:val="30"/>
                    </w:rPr>
                  </w:pPr>
                </w:p>
                <w:p w14:paraId="2B374746">
                  <w:pPr>
                    <w:rPr>
                      <w:rFonts w:hint="eastAsia" w:ascii="Arial" w:eastAsia="宋体"/>
                      <w:lang w:val="en-US" w:eastAsia="zh-CN"/>
                    </w:rPr>
                  </w:pPr>
                  <w:r>
                    <w:rPr>
                      <w:rFonts w:hint="eastAsia" w:ascii="Arial"/>
                      <w:lang w:val="en-US" w:eastAsia="zh-CN"/>
                    </w:rPr>
                    <w:t xml:space="preserve"> 行政处罚</w:t>
                  </w:r>
                </w:p>
              </w:tc>
              <w:tc>
                <w:tcPr>
                  <w:tcW w:w="1230" w:type="dxa"/>
                </w:tcPr>
                <w:p w14:paraId="2F22AE67">
                  <w:pPr>
                    <w:rPr>
                      <w:rFonts w:ascii="宋体"/>
                      <w:sz w:val="30"/>
                      <w:szCs w:val="30"/>
                    </w:rPr>
                  </w:pPr>
                </w:p>
                <w:p w14:paraId="74E55E73">
                  <w:pPr>
                    <w:rPr>
                      <w:rFonts w:ascii="宋体"/>
                      <w:sz w:val="30"/>
                      <w:szCs w:val="30"/>
                    </w:rPr>
                  </w:pPr>
                </w:p>
                <w:p w14:paraId="6EA849B5">
                  <w:pPr>
                    <w:rPr>
                      <w:rFonts w:ascii="Arial"/>
                    </w:rPr>
                  </w:pPr>
                  <w:r>
                    <w:rPr>
                      <w:rFonts w:ascii="宋体" w:hAnsi="宋体" w:cs="宋体"/>
                      <w:sz w:val="30"/>
                      <w:szCs w:val="30"/>
                    </w:rPr>
                    <w:t>1.</w:t>
                  </w:r>
                  <w:r>
                    <w:rPr>
                      <w:rFonts w:hint="eastAsia" w:ascii="宋体" w:hAnsi="宋体" w:cs="宋体"/>
                      <w:sz w:val="30"/>
                      <w:szCs w:val="30"/>
                    </w:rPr>
                    <w:t>立案</w:t>
                  </w:r>
                  <w:r>
                    <w:rPr>
                      <w:rFonts w:ascii="宋体" w:hAnsi="宋体" w:cs="宋体"/>
                      <w:sz w:val="30"/>
                      <w:szCs w:val="30"/>
                    </w:rPr>
                    <w:t>,2.</w:t>
                  </w:r>
                  <w:r>
                    <w:rPr>
                      <w:rFonts w:hint="eastAsia" w:ascii="宋体" w:hAnsi="宋体" w:cs="宋体"/>
                      <w:sz w:val="30"/>
                      <w:szCs w:val="30"/>
                    </w:rPr>
                    <w:t>调查，</w:t>
                  </w:r>
                  <w:r>
                    <w:rPr>
                      <w:rFonts w:ascii="宋体" w:hAnsi="宋体" w:cs="宋体"/>
                      <w:sz w:val="30"/>
                      <w:szCs w:val="30"/>
                    </w:rPr>
                    <w:t>3.</w:t>
                  </w:r>
                  <w:r>
                    <w:rPr>
                      <w:rFonts w:hint="eastAsia" w:ascii="宋体" w:hAnsi="宋体" w:cs="宋体"/>
                      <w:sz w:val="30"/>
                      <w:szCs w:val="30"/>
                    </w:rPr>
                    <w:t>审查，</w:t>
                  </w:r>
                  <w:r>
                    <w:rPr>
                      <w:rFonts w:ascii="宋体" w:hAnsi="宋体" w:cs="宋体"/>
                      <w:sz w:val="30"/>
                      <w:szCs w:val="30"/>
                    </w:rPr>
                    <w:t>4.</w:t>
                  </w:r>
                  <w:r>
                    <w:rPr>
                      <w:rFonts w:hint="eastAsia" w:ascii="宋体" w:hAnsi="宋体" w:cs="宋体"/>
                      <w:sz w:val="30"/>
                      <w:szCs w:val="30"/>
                    </w:rPr>
                    <w:t>告知，</w:t>
                  </w:r>
                  <w:r>
                    <w:rPr>
                      <w:rFonts w:ascii="宋体" w:hAnsi="宋体" w:cs="宋体"/>
                      <w:sz w:val="30"/>
                      <w:szCs w:val="30"/>
                    </w:rPr>
                    <w:t>5.</w:t>
                  </w:r>
                  <w:r>
                    <w:rPr>
                      <w:rFonts w:hint="eastAsia" w:ascii="宋体" w:hAnsi="宋体" w:cs="宋体"/>
                      <w:sz w:val="30"/>
                      <w:szCs w:val="30"/>
                    </w:rPr>
                    <w:t>决定</w:t>
                  </w:r>
                  <w:r>
                    <w:rPr>
                      <w:rFonts w:hint="eastAsia" w:ascii="宋体" w:hAnsi="宋体" w:cs="宋体"/>
                      <w:sz w:val="30"/>
                      <w:szCs w:val="30"/>
                      <w:lang w:eastAsia="zh-CN"/>
                    </w:rPr>
                    <w:t>，</w:t>
                  </w:r>
                  <w:r>
                    <w:rPr>
                      <w:rFonts w:hint="eastAsia" w:ascii="宋体" w:hAnsi="宋体" w:cs="宋体"/>
                      <w:sz w:val="30"/>
                      <w:szCs w:val="30"/>
                      <w:lang w:val="en-US" w:eastAsia="zh-CN"/>
                    </w:rPr>
                    <w:t>6.送达，7.执行</w:t>
                  </w:r>
                </w:p>
              </w:tc>
              <w:tc>
                <w:tcPr>
                  <w:tcW w:w="3591" w:type="dxa"/>
                </w:tcPr>
                <w:p w14:paraId="48592742">
                  <w:pPr>
                    <w:widowControl/>
                    <w:jc w:val="left"/>
                    <w:rPr>
                      <w:rFonts w:hint="default" w:ascii="仿宋_GB2312" w:hAnsi="仿宋_GB2312" w:eastAsia="仿宋_GB2312" w:cs="仿宋_GB2312"/>
                      <w:color w:val="000000"/>
                      <w:kern w:val="0"/>
                      <w:sz w:val="24"/>
                      <w:szCs w:val="24"/>
                      <w:lang w:val="en-US" w:eastAsia="zh-CN"/>
                    </w:rPr>
                  </w:pPr>
                  <w:r>
                    <w:rPr>
                      <w:sz w:val="24"/>
                      <w:szCs w:val="24"/>
                    </w:rPr>
                    <w:t>1.</w:t>
                  </w:r>
                  <w:r>
                    <w:rPr>
                      <w:rFonts w:hint="eastAsia" w:cs="宋体"/>
                      <w:sz w:val="24"/>
                      <w:szCs w:val="24"/>
                    </w:rPr>
                    <w:t>立案；</w:t>
                  </w:r>
                  <w:r>
                    <w:rPr>
                      <w:rFonts w:hint="eastAsia" w:ascii="仿宋_GB2312" w:hAnsi="仿宋_GB2312" w:eastAsia="仿宋_GB2312" w:cs="仿宋_GB2312"/>
                      <w:color w:val="000000"/>
                      <w:kern w:val="0"/>
                      <w:sz w:val="24"/>
                      <w:szCs w:val="24"/>
                    </w:rPr>
                    <w:t>对检查中发现或接到举报违反《中华人民共和国人民防空法》第49条所列行为的案件予以审查，决定是否立案。</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调查；对立案的案件，案件承办人员应及时、全面、客观、公正地调查收集与案件有关的证据，查明事实，必要时可进行现场检查。与当事人有直接利害关系的人应当回避；执法人员不得少于2人；调查取证应出示执法证件；允许当事人辩解陈述。</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审查；对案件违法事实、证据、调查取证程序、法律适用、处罚种类和幅度、当事人陈述和申辩理由等方面进行审查，提出处理意见。</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告知；在做出行政处罚决定前，书面告知当事人拟做出处罚决定的事实、理由、依据、处罚内容，以及当事人享有的陈述权、申辩权和听证权。</w:t>
                  </w:r>
                  <w:r>
                    <w:rPr>
                      <w:sz w:val="24"/>
                      <w:szCs w:val="24"/>
                    </w:rPr>
                    <w:t>5.</w:t>
                  </w:r>
                  <w:r>
                    <w:rPr>
                      <w:rFonts w:hint="eastAsia" w:cs="宋体"/>
                      <w:sz w:val="24"/>
                      <w:szCs w:val="24"/>
                    </w:rPr>
                    <w:t>决定；</w:t>
                  </w:r>
                  <w:r>
                    <w:rPr>
                      <w:rFonts w:hint="eastAsia" w:ascii="仿宋_GB2312" w:hAnsi="仿宋_GB2312" w:eastAsia="仿宋_GB2312" w:cs="仿宋_GB2312"/>
                      <w:color w:val="000000"/>
                      <w:kern w:val="0"/>
                      <w:sz w:val="24"/>
                      <w:szCs w:val="24"/>
                    </w:rPr>
                    <w:t>依法需要给予行政处罚的，应制作《行政处罚决定书》，载明违法事实和证据、处罚依据和内容、申请行政复议或提起行政诉讼的途径和期限等内容。</w:t>
                  </w:r>
                  <w:r>
                    <w:rPr>
                      <w:rFonts w:hint="eastAsia" w:ascii="仿宋_GB2312" w:hAnsi="仿宋_GB2312" w:eastAsia="仿宋_GB2312" w:cs="仿宋_GB2312"/>
                      <w:color w:val="000000"/>
                      <w:kern w:val="0"/>
                      <w:sz w:val="24"/>
                      <w:szCs w:val="24"/>
                      <w:lang w:val="en-US" w:eastAsia="zh-CN"/>
                    </w:rPr>
                    <w:t>6.送达；行政处罚决定书应当在宣告后当场交付当事人；当事人不在场的，行政机关应当在7日内依照民事诉讼法的有关规定，将行政处罚决定书送达当事人。7.执行；监督当事人在决定的期限内（15日内），履行生效的行政处罚决定。当事人在法定期限内没有申请行政复议或提起行政诉讼，又不履行的，可申请人民法院强制执行。</w:t>
                  </w:r>
                </w:p>
                <w:p w14:paraId="535BF4F5">
                  <w:pPr>
                    <w:rPr>
                      <w:rFonts w:ascii="Arial"/>
                    </w:rPr>
                  </w:pPr>
                </w:p>
                <w:p w14:paraId="5CA58FCB">
                  <w:pPr>
                    <w:rPr>
                      <w:rFonts w:ascii="Arial"/>
                    </w:rPr>
                  </w:pPr>
                </w:p>
              </w:tc>
              <w:tc>
                <w:tcPr>
                  <w:tcW w:w="1620" w:type="dxa"/>
                </w:tcPr>
                <w:p w14:paraId="516B1ECA">
                  <w:pPr>
                    <w:rPr>
                      <w:rFonts w:ascii="Arial"/>
                    </w:rPr>
                  </w:pPr>
                </w:p>
              </w:tc>
              <w:tc>
                <w:tcPr>
                  <w:tcW w:w="1695" w:type="dxa"/>
                </w:tcPr>
                <w:p w14:paraId="5F50002F">
                  <w:pPr>
                    <w:rPr>
                      <w:sz w:val="28"/>
                      <w:szCs w:val="28"/>
                    </w:rPr>
                  </w:pPr>
                </w:p>
                <w:p w14:paraId="328840CB">
                  <w:pPr>
                    <w:rPr>
                      <w:sz w:val="28"/>
                      <w:szCs w:val="28"/>
                    </w:rPr>
                  </w:pPr>
                </w:p>
                <w:p w14:paraId="4754934F">
                  <w:pPr>
                    <w:rPr>
                      <w:sz w:val="28"/>
                      <w:szCs w:val="28"/>
                    </w:rPr>
                  </w:pPr>
                </w:p>
                <w:p w14:paraId="3CAC0C08">
                  <w:pPr>
                    <w:rPr>
                      <w:sz w:val="28"/>
                      <w:szCs w:val="28"/>
                    </w:rPr>
                  </w:pPr>
                </w:p>
                <w:p w14:paraId="2251F254">
                  <w:pPr>
                    <w:rPr>
                      <w:sz w:val="28"/>
                      <w:szCs w:val="28"/>
                    </w:rPr>
                  </w:pPr>
                </w:p>
                <w:p w14:paraId="28E22889">
                  <w:pPr>
                    <w:rPr>
                      <w:sz w:val="28"/>
                      <w:szCs w:val="28"/>
                    </w:rPr>
                  </w:pPr>
                </w:p>
                <w:p w14:paraId="2C4A2EE4">
                  <w:pPr>
                    <w:rPr>
                      <w:sz w:val="28"/>
                      <w:szCs w:val="28"/>
                    </w:rPr>
                  </w:pPr>
                </w:p>
                <w:p w14:paraId="72EBF857">
                  <w:pPr>
                    <w:rPr>
                      <w:sz w:val="28"/>
                      <w:szCs w:val="28"/>
                    </w:rPr>
                  </w:pPr>
                </w:p>
                <w:p w14:paraId="5D5DA11E">
                  <w:pPr>
                    <w:rPr>
                      <w:sz w:val="28"/>
                      <w:szCs w:val="28"/>
                    </w:rPr>
                  </w:pPr>
                  <w:r>
                    <w:rPr>
                      <w:rFonts w:hint="eastAsia" w:cs="宋体"/>
                      <w:sz w:val="28"/>
                      <w:szCs w:val="28"/>
                    </w:rPr>
                    <w:t>人防中心</w:t>
                  </w:r>
                </w:p>
                <w:p w14:paraId="03967FBE">
                  <w:pPr>
                    <w:rPr>
                      <w:rFonts w:ascii="Arial"/>
                    </w:rPr>
                  </w:pPr>
                  <w:r>
                    <w:rPr>
                      <w:rFonts w:hint="eastAsia" w:cs="宋体"/>
                      <w:sz w:val="28"/>
                      <w:szCs w:val="28"/>
                    </w:rPr>
                    <w:t>工程股</w:t>
                  </w:r>
                </w:p>
              </w:tc>
            </w:tr>
            <w:tr w14:paraId="2C40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5465" w:type="dxa"/>
                  <w:gridSpan w:val="8"/>
                </w:tcPr>
                <w:p w14:paraId="6AF285B2">
                  <w:pPr>
                    <w:spacing w:line="248" w:lineRule="auto"/>
                    <w:rPr>
                      <w:rFonts w:ascii="Arial"/>
                    </w:rPr>
                  </w:pPr>
                </w:p>
                <w:p w14:paraId="0CF4C4E9">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6A7A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5465" w:type="dxa"/>
                  <w:gridSpan w:val="8"/>
                </w:tcPr>
                <w:p w14:paraId="5300363C">
                  <w:pPr>
                    <w:spacing w:line="262" w:lineRule="auto"/>
                    <w:rPr>
                      <w:rFonts w:ascii="Arial"/>
                    </w:rPr>
                  </w:pPr>
                </w:p>
                <w:p w14:paraId="1298EF66">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39FFD78C">
            <w:pPr>
              <w:spacing w:before="78" w:line="221" w:lineRule="auto"/>
              <w:ind w:left="5"/>
              <w:rPr>
                <w:rFonts w:ascii="仿宋_GB2312" w:hAnsi="仿宋_GB2312" w:eastAsia="仿宋_GB2312" w:cs="仿宋_GB2312"/>
                <w:sz w:val="24"/>
                <w:szCs w:val="24"/>
                <w:shd w:val="clear" w:color="070000" w:fill="FFFFFF"/>
              </w:rPr>
            </w:pPr>
          </w:p>
        </w:tc>
      </w:tr>
    </w:tbl>
    <w:tbl>
      <w:tblPr>
        <w:tblStyle w:val="8"/>
        <w:tblpPr w:leftFromText="180" w:rightFromText="180" w:vertAnchor="text" w:horzAnchor="page" w:tblpX="710" w:tblpY="306"/>
        <w:tblOverlap w:val="never"/>
        <w:tblW w:w="15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1599"/>
        <w:gridCol w:w="3945"/>
        <w:gridCol w:w="720"/>
        <w:gridCol w:w="1230"/>
        <w:gridCol w:w="3591"/>
        <w:gridCol w:w="1620"/>
        <w:gridCol w:w="1695"/>
      </w:tblGrid>
      <w:tr w14:paraId="539A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65" w:type="dxa"/>
          </w:tcPr>
          <w:p w14:paraId="7AE4F27C">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599" w:type="dxa"/>
          </w:tcPr>
          <w:p w14:paraId="13AC9447">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945" w:type="dxa"/>
          </w:tcPr>
          <w:p w14:paraId="08AA8E59">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720" w:type="dxa"/>
          </w:tcPr>
          <w:p w14:paraId="350B6FE7">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5D08FD98">
            <w:pPr>
              <w:spacing w:before="1" w:line="209" w:lineRule="auto"/>
              <w:ind w:left="287"/>
              <w:rPr>
                <w:rFonts w:ascii="宋体"/>
                <w:sz w:val="24"/>
                <w:szCs w:val="24"/>
              </w:rPr>
            </w:pPr>
            <w:r>
              <w:rPr>
                <w:rFonts w:hint="eastAsia" w:ascii="宋体" w:hAnsi="宋体" w:cs="宋体"/>
                <w:b/>
                <w:bCs/>
                <w:spacing w:val="3"/>
                <w:sz w:val="24"/>
                <w:szCs w:val="24"/>
              </w:rPr>
              <w:t>类别</w:t>
            </w:r>
          </w:p>
        </w:tc>
        <w:tc>
          <w:tcPr>
            <w:tcW w:w="1230" w:type="dxa"/>
          </w:tcPr>
          <w:p w14:paraId="6BFC7C92">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91" w:type="dxa"/>
          </w:tcPr>
          <w:p w14:paraId="1910904D">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20" w:type="dxa"/>
          </w:tcPr>
          <w:p w14:paraId="6C29EF98">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95" w:type="dxa"/>
          </w:tcPr>
          <w:p w14:paraId="3D677A4E">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63FE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3" w:hRule="atLeast"/>
        </w:trPr>
        <w:tc>
          <w:tcPr>
            <w:tcW w:w="1065" w:type="dxa"/>
          </w:tcPr>
          <w:p w14:paraId="2B538A32">
            <w:pPr>
              <w:spacing w:line="260" w:lineRule="auto"/>
              <w:rPr>
                <w:rFonts w:ascii="Arial"/>
              </w:rPr>
            </w:pPr>
          </w:p>
          <w:p w14:paraId="4A49AEA6">
            <w:pPr>
              <w:spacing w:line="260" w:lineRule="auto"/>
              <w:rPr>
                <w:rFonts w:ascii="Arial"/>
              </w:rPr>
            </w:pPr>
          </w:p>
          <w:p w14:paraId="5B1B8AFD">
            <w:pPr>
              <w:spacing w:line="260" w:lineRule="auto"/>
              <w:rPr>
                <w:rFonts w:ascii="Arial"/>
              </w:rPr>
            </w:pPr>
          </w:p>
          <w:p w14:paraId="2AFFC41F">
            <w:pPr>
              <w:spacing w:line="260" w:lineRule="auto"/>
              <w:rPr>
                <w:rFonts w:ascii="Arial"/>
              </w:rPr>
            </w:pPr>
          </w:p>
          <w:p w14:paraId="28E64F91">
            <w:pPr>
              <w:spacing w:line="260" w:lineRule="auto"/>
              <w:rPr>
                <w:rFonts w:ascii="Arial"/>
              </w:rPr>
            </w:pPr>
          </w:p>
          <w:p w14:paraId="397FEE92">
            <w:pPr>
              <w:spacing w:line="261" w:lineRule="auto"/>
              <w:rPr>
                <w:rFonts w:ascii="Arial"/>
              </w:rPr>
            </w:pPr>
          </w:p>
          <w:p w14:paraId="1778245B">
            <w:pPr>
              <w:spacing w:line="261" w:lineRule="auto"/>
              <w:rPr>
                <w:rFonts w:ascii="Arial"/>
              </w:rPr>
            </w:pPr>
          </w:p>
          <w:p w14:paraId="15A3BD2D">
            <w:pPr>
              <w:spacing w:before="78" w:line="184" w:lineRule="auto"/>
              <w:ind w:left="504"/>
              <w:rPr>
                <w:rFonts w:hint="eastAsia" w:ascii="宋体" w:eastAsia="宋体"/>
                <w:sz w:val="24"/>
                <w:szCs w:val="24"/>
                <w:lang w:eastAsia="zh-CN"/>
              </w:rPr>
            </w:pPr>
            <w:r>
              <w:rPr>
                <w:rFonts w:hint="eastAsia" w:ascii="宋体" w:hAnsi="宋体" w:cs="宋体"/>
                <w:sz w:val="24"/>
                <w:szCs w:val="24"/>
                <w:lang w:val="en-US" w:eastAsia="zh-CN"/>
              </w:rPr>
              <w:t>9</w:t>
            </w:r>
          </w:p>
        </w:tc>
        <w:tc>
          <w:tcPr>
            <w:tcW w:w="1599" w:type="dxa"/>
          </w:tcPr>
          <w:p w14:paraId="1A979F1A">
            <w:pPr>
              <w:rPr>
                <w:rFonts w:ascii="Arial"/>
              </w:rPr>
            </w:pPr>
            <w:r>
              <w:rPr>
                <w:rFonts w:hint="eastAsia" w:ascii="仿宋_GB2312" w:hAnsi="宋体" w:eastAsia="仿宋_GB2312" w:cs="仿宋_GB2312"/>
                <w:color w:val="000000"/>
                <w:kern w:val="0"/>
                <w:sz w:val="28"/>
                <w:szCs w:val="28"/>
              </w:rPr>
              <w:t>人民防空工程平时开发利用及城市地下空间开发利用兼顾人民防空要求的管理和监督检查</w:t>
            </w:r>
          </w:p>
        </w:tc>
        <w:tc>
          <w:tcPr>
            <w:tcW w:w="3945" w:type="dxa"/>
          </w:tcPr>
          <w:p w14:paraId="13E09C0E">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、《人民防空工程平时开发利用管理办法》第五条：人民防空工程隶属单位或者个人（以下简称工程隶属单位）管理所属人民防空工程平时开发利用工作，接受人民防空主管部门的监督检查。</w:t>
            </w:r>
            <w:r>
              <w:rPr>
                <w:rFonts w:ascii="仿宋" w:hAnsi="仿宋" w:eastAsia="仿宋" w:cs="仿宋"/>
                <w:color w:val="000000"/>
                <w:kern w:val="0"/>
                <w:sz w:val="22"/>
                <w:szCs w:val="22"/>
              </w:rPr>
              <w:t xml:space="preserve">                                                      2</w:t>
            </w:r>
            <w:r>
              <w:rPr>
                <w:rFonts w:hint="eastAsia" w:ascii="仿宋" w:hAnsi="仿宋" w:eastAsia="仿宋" w:cs="仿宋"/>
                <w:color w:val="000000"/>
                <w:kern w:val="0"/>
                <w:sz w:val="22"/>
                <w:szCs w:val="22"/>
              </w:rPr>
              <w:t>、《河南省人民防空工程管理办法》第十条：地铁、隧道等地下交通干线以及城市地下综合管廊等地下公共基础设施的建设，应当兼顾人民防空需要。利用公园绿地、防护绿地、广场用地城市道路用地、社会停车场用地以及其他交通设施用地等开发地下空间的建设项目（包括单独开发地下空间和以开发地下空间为主一并开发地面建筑的建设项目），应当按照不低于地下总建筑面积的百分之三十修建防护级别</w:t>
            </w:r>
            <w:r>
              <w:rPr>
                <w:rFonts w:ascii="仿宋" w:hAnsi="仿宋" w:eastAsia="仿宋" w:cs="仿宋"/>
                <w:color w:val="000000"/>
                <w:kern w:val="0"/>
                <w:sz w:val="22"/>
                <w:szCs w:val="22"/>
              </w:rPr>
              <w:t>6</w:t>
            </w:r>
            <w:r>
              <w:rPr>
                <w:rFonts w:hint="eastAsia" w:ascii="仿宋" w:hAnsi="仿宋" w:eastAsia="仿宋" w:cs="仿宋"/>
                <w:color w:val="000000"/>
                <w:kern w:val="0"/>
                <w:sz w:val="22"/>
                <w:szCs w:val="22"/>
              </w:rPr>
              <w:t>级以上人防工程。人民防空主管部门负责城市地下空间开发利用兼顾人民防空要求的监督和管理。</w:t>
            </w:r>
          </w:p>
        </w:tc>
        <w:tc>
          <w:tcPr>
            <w:tcW w:w="720" w:type="dxa"/>
          </w:tcPr>
          <w:p w14:paraId="377E0CB2">
            <w:pPr>
              <w:rPr>
                <w:rFonts w:ascii="仿宋" w:hAnsi="仿宋" w:eastAsia="仿宋"/>
                <w:color w:val="000000"/>
                <w:kern w:val="0"/>
                <w:sz w:val="30"/>
                <w:szCs w:val="30"/>
              </w:rPr>
            </w:pPr>
          </w:p>
          <w:p w14:paraId="1AE0EE7A">
            <w:pPr>
              <w:rPr>
                <w:rFonts w:ascii="仿宋" w:hAnsi="仿宋" w:eastAsia="仿宋"/>
                <w:color w:val="000000"/>
                <w:kern w:val="0"/>
                <w:sz w:val="30"/>
                <w:szCs w:val="30"/>
              </w:rPr>
            </w:pPr>
          </w:p>
          <w:p w14:paraId="5751F38C">
            <w:pPr>
              <w:rPr>
                <w:rFonts w:ascii="仿宋" w:hAnsi="仿宋" w:eastAsia="仿宋"/>
                <w:color w:val="000000"/>
                <w:kern w:val="0"/>
                <w:sz w:val="30"/>
                <w:szCs w:val="30"/>
              </w:rPr>
            </w:pPr>
          </w:p>
          <w:p w14:paraId="52FE93DC">
            <w:pPr>
              <w:rPr>
                <w:rFonts w:ascii="仿宋" w:hAnsi="仿宋" w:eastAsia="仿宋"/>
                <w:color w:val="000000"/>
                <w:kern w:val="0"/>
                <w:sz w:val="30"/>
                <w:szCs w:val="30"/>
              </w:rPr>
            </w:pPr>
          </w:p>
          <w:p w14:paraId="3CEC84C8">
            <w:pPr>
              <w:rPr>
                <w:rFonts w:ascii="仿宋" w:hAnsi="仿宋" w:eastAsia="仿宋"/>
                <w:color w:val="000000"/>
                <w:kern w:val="0"/>
                <w:sz w:val="30"/>
                <w:szCs w:val="30"/>
              </w:rPr>
            </w:pPr>
          </w:p>
          <w:p w14:paraId="133D351F">
            <w:pPr>
              <w:rPr>
                <w:rFonts w:ascii="仿宋" w:hAnsi="仿宋" w:eastAsia="仿宋"/>
                <w:color w:val="000000"/>
                <w:kern w:val="0"/>
                <w:sz w:val="30"/>
                <w:szCs w:val="30"/>
              </w:rPr>
            </w:pPr>
          </w:p>
          <w:p w14:paraId="39592773">
            <w:pPr>
              <w:rPr>
                <w:rFonts w:ascii="仿宋" w:hAnsi="仿宋" w:eastAsia="仿宋"/>
                <w:color w:val="000000"/>
                <w:kern w:val="0"/>
                <w:sz w:val="30"/>
                <w:szCs w:val="30"/>
              </w:rPr>
            </w:pPr>
          </w:p>
          <w:p w14:paraId="5D874035">
            <w:pPr>
              <w:rPr>
                <w:rFonts w:ascii="Arial"/>
              </w:rPr>
            </w:pPr>
            <w:r>
              <w:rPr>
                <w:rFonts w:hint="eastAsia" w:ascii="仿宋" w:hAnsi="仿宋" w:eastAsia="仿宋" w:cs="仿宋"/>
                <w:color w:val="000000"/>
                <w:kern w:val="0"/>
                <w:sz w:val="30"/>
                <w:szCs w:val="30"/>
              </w:rPr>
              <w:t>行政检查</w:t>
            </w:r>
          </w:p>
        </w:tc>
        <w:tc>
          <w:tcPr>
            <w:tcW w:w="1230" w:type="dxa"/>
          </w:tcPr>
          <w:p w14:paraId="19E0A23F">
            <w:pPr>
              <w:rPr>
                <w:rFonts w:ascii="宋体"/>
                <w:sz w:val="30"/>
                <w:szCs w:val="30"/>
              </w:rPr>
            </w:pPr>
          </w:p>
          <w:p w14:paraId="02256D70">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91" w:type="dxa"/>
          </w:tcPr>
          <w:p w14:paraId="01B06E63">
            <w:pPr>
              <w:widowControl/>
              <w:jc w:val="left"/>
              <w:rPr>
                <w:sz w:val="24"/>
                <w:szCs w:val="24"/>
              </w:rPr>
            </w:pPr>
            <w:r>
              <w:rPr>
                <w:sz w:val="24"/>
                <w:szCs w:val="24"/>
              </w:rPr>
              <w:t>1</w:t>
            </w:r>
            <w:r>
              <w:rPr>
                <w:rFonts w:hint="eastAsia" w:cs="宋体"/>
                <w:sz w:val="24"/>
                <w:szCs w:val="24"/>
              </w:rPr>
              <w:t>，决定；</w:t>
            </w:r>
            <w:r>
              <w:rPr>
                <w:rFonts w:hint="eastAsia" w:ascii="仿宋_GB2312" w:hAnsi="仿宋_GB2312" w:eastAsia="仿宋_GB2312" w:cs="仿宋_GB2312"/>
                <w:color w:val="000000"/>
                <w:kern w:val="0"/>
                <w:sz w:val="24"/>
                <w:szCs w:val="24"/>
              </w:rPr>
              <w:t>科学制定检查计划，采取随机抽查、专项检查、交</w:t>
            </w:r>
            <w:r>
              <w:rPr>
                <w:rFonts w:ascii="仿宋_GB2312" w:hAnsi="仿宋_GB2312" w:eastAsia="仿宋_GB2312" w:cs="仿宋_GB2312"/>
                <w:color w:val="000000"/>
                <w:kern w:val="0"/>
                <w:sz w:val="24"/>
                <w:szCs w:val="24"/>
              </w:rPr>
              <w:t xml:space="preserve"> </w:t>
            </w:r>
          </w:p>
          <w:p w14:paraId="641EC1A5">
            <w:pPr>
              <w:widowControl/>
              <w:jc w:val="left"/>
              <w:rPr>
                <w:sz w:val="24"/>
                <w:szCs w:val="24"/>
              </w:rPr>
            </w:pPr>
            <w:r>
              <w:rPr>
                <w:rFonts w:hint="eastAsia" w:ascii="仿宋_GB2312" w:hAnsi="仿宋_GB2312" w:eastAsia="仿宋_GB2312" w:cs="仿宋_GB2312"/>
                <w:color w:val="000000"/>
                <w:kern w:val="0"/>
                <w:sz w:val="24"/>
                <w:szCs w:val="24"/>
              </w:rPr>
              <w:t>叉检查、年度检查等检查方式</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检查；到被检查单位查阅档案、人防工程现场实地检查，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形成检查意见和整改建议，并填写检查意见反馈表。</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督促；督促责任单位对所查隐患限期整改，并及时上报整</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改报告，逾期不整改的将进行通报。</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监管；接到整改报告后，对整改情况进行抽查，并将整改</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事项列入日常检查内容，杜绝类似问题重复发生。</w:t>
            </w:r>
          </w:p>
          <w:p w14:paraId="3ED90259">
            <w:pPr>
              <w:rPr>
                <w:rFonts w:ascii="Arial"/>
              </w:rPr>
            </w:pPr>
          </w:p>
        </w:tc>
        <w:tc>
          <w:tcPr>
            <w:tcW w:w="1620" w:type="dxa"/>
          </w:tcPr>
          <w:p w14:paraId="64C395AC">
            <w:pPr>
              <w:rPr>
                <w:rFonts w:ascii="Arial"/>
              </w:rPr>
            </w:pPr>
          </w:p>
        </w:tc>
        <w:tc>
          <w:tcPr>
            <w:tcW w:w="1695" w:type="dxa"/>
          </w:tcPr>
          <w:p w14:paraId="71DE2C8B">
            <w:pPr>
              <w:rPr>
                <w:sz w:val="28"/>
                <w:szCs w:val="28"/>
              </w:rPr>
            </w:pPr>
          </w:p>
          <w:p w14:paraId="6ED8342D">
            <w:pPr>
              <w:rPr>
                <w:sz w:val="28"/>
                <w:szCs w:val="28"/>
              </w:rPr>
            </w:pPr>
          </w:p>
          <w:p w14:paraId="04ADA269">
            <w:pPr>
              <w:rPr>
                <w:sz w:val="28"/>
                <w:szCs w:val="28"/>
              </w:rPr>
            </w:pPr>
          </w:p>
          <w:p w14:paraId="332262F3">
            <w:pPr>
              <w:rPr>
                <w:sz w:val="28"/>
                <w:szCs w:val="28"/>
              </w:rPr>
            </w:pPr>
          </w:p>
          <w:p w14:paraId="674E5E1C">
            <w:pPr>
              <w:rPr>
                <w:sz w:val="28"/>
                <w:szCs w:val="28"/>
              </w:rPr>
            </w:pPr>
          </w:p>
          <w:p w14:paraId="7509A571">
            <w:pPr>
              <w:rPr>
                <w:sz w:val="28"/>
                <w:szCs w:val="28"/>
              </w:rPr>
            </w:pPr>
          </w:p>
          <w:p w14:paraId="0A7259DA">
            <w:pPr>
              <w:rPr>
                <w:sz w:val="28"/>
                <w:szCs w:val="28"/>
              </w:rPr>
            </w:pPr>
          </w:p>
          <w:p w14:paraId="6E25D671">
            <w:pPr>
              <w:rPr>
                <w:rFonts w:hint="eastAsia" w:cs="宋体"/>
                <w:sz w:val="28"/>
                <w:szCs w:val="28"/>
              </w:rPr>
            </w:pPr>
            <w:r>
              <w:rPr>
                <w:rFonts w:hint="eastAsia" w:cs="宋体"/>
                <w:sz w:val="28"/>
                <w:szCs w:val="28"/>
              </w:rPr>
              <w:t>人防中心</w:t>
            </w:r>
          </w:p>
          <w:p w14:paraId="25DAE852">
            <w:pPr>
              <w:rPr>
                <w:rFonts w:ascii="Arial"/>
              </w:rPr>
            </w:pPr>
            <w:r>
              <w:rPr>
                <w:rFonts w:hint="eastAsia" w:cs="宋体"/>
                <w:sz w:val="28"/>
                <w:szCs w:val="28"/>
              </w:rPr>
              <w:t>工程股</w:t>
            </w:r>
          </w:p>
        </w:tc>
      </w:tr>
      <w:tr w14:paraId="443D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65" w:type="dxa"/>
            <w:gridSpan w:val="8"/>
          </w:tcPr>
          <w:p w14:paraId="6B74C9EB">
            <w:pPr>
              <w:spacing w:line="248" w:lineRule="auto"/>
              <w:rPr>
                <w:rFonts w:ascii="Arial"/>
              </w:rPr>
            </w:pPr>
          </w:p>
          <w:p w14:paraId="75733033">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3BEF5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5465" w:type="dxa"/>
            <w:gridSpan w:val="8"/>
          </w:tcPr>
          <w:p w14:paraId="0E95C312">
            <w:pPr>
              <w:spacing w:line="262" w:lineRule="auto"/>
              <w:rPr>
                <w:rFonts w:ascii="Arial"/>
              </w:rPr>
            </w:pPr>
          </w:p>
          <w:p w14:paraId="432E31B3">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2D4B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65" w:type="dxa"/>
          </w:tcPr>
          <w:p w14:paraId="71BA3E2F">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599" w:type="dxa"/>
          </w:tcPr>
          <w:p w14:paraId="21BF61EA">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945" w:type="dxa"/>
          </w:tcPr>
          <w:p w14:paraId="75F711C1">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720" w:type="dxa"/>
          </w:tcPr>
          <w:p w14:paraId="3B7A303C">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33B653A2">
            <w:pPr>
              <w:spacing w:before="1" w:line="209" w:lineRule="auto"/>
              <w:ind w:left="287"/>
              <w:rPr>
                <w:rFonts w:ascii="宋体"/>
                <w:sz w:val="24"/>
                <w:szCs w:val="24"/>
              </w:rPr>
            </w:pPr>
            <w:r>
              <w:rPr>
                <w:rFonts w:hint="eastAsia" w:ascii="宋体" w:hAnsi="宋体" w:cs="宋体"/>
                <w:b/>
                <w:bCs/>
                <w:spacing w:val="3"/>
                <w:sz w:val="24"/>
                <w:szCs w:val="24"/>
              </w:rPr>
              <w:t>类别</w:t>
            </w:r>
          </w:p>
        </w:tc>
        <w:tc>
          <w:tcPr>
            <w:tcW w:w="1230" w:type="dxa"/>
          </w:tcPr>
          <w:p w14:paraId="28AA0BB1">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91" w:type="dxa"/>
          </w:tcPr>
          <w:p w14:paraId="4795F6EF">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20" w:type="dxa"/>
          </w:tcPr>
          <w:p w14:paraId="3C9E8BB8">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95" w:type="dxa"/>
          </w:tcPr>
          <w:p w14:paraId="1AFC3043">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3357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1065" w:type="dxa"/>
          </w:tcPr>
          <w:p w14:paraId="33D63FDA">
            <w:pPr>
              <w:spacing w:line="260" w:lineRule="auto"/>
              <w:rPr>
                <w:rFonts w:ascii="Arial"/>
              </w:rPr>
            </w:pPr>
          </w:p>
          <w:p w14:paraId="03CD7B44">
            <w:pPr>
              <w:spacing w:line="260" w:lineRule="auto"/>
              <w:rPr>
                <w:rFonts w:ascii="Arial"/>
              </w:rPr>
            </w:pPr>
          </w:p>
          <w:p w14:paraId="21195A49">
            <w:pPr>
              <w:spacing w:line="260" w:lineRule="auto"/>
              <w:rPr>
                <w:rFonts w:ascii="Arial"/>
              </w:rPr>
            </w:pPr>
          </w:p>
          <w:p w14:paraId="2EAB8B37">
            <w:pPr>
              <w:spacing w:line="260" w:lineRule="auto"/>
              <w:rPr>
                <w:rFonts w:ascii="Arial"/>
              </w:rPr>
            </w:pPr>
          </w:p>
          <w:p w14:paraId="6D2B9FF4">
            <w:pPr>
              <w:spacing w:before="78" w:line="184" w:lineRule="auto"/>
              <w:ind w:firstLine="480" w:firstLineChars="200"/>
              <w:rPr>
                <w:rFonts w:hint="default" w:ascii="宋体" w:eastAsia="宋体"/>
                <w:sz w:val="24"/>
                <w:szCs w:val="24"/>
                <w:lang w:val="en-US" w:eastAsia="zh-CN"/>
              </w:rPr>
            </w:pPr>
            <w:r>
              <w:rPr>
                <w:rFonts w:hint="eastAsia" w:ascii="宋体" w:hAnsi="宋体" w:cs="宋体"/>
                <w:sz w:val="24"/>
                <w:szCs w:val="24"/>
                <w:lang w:val="en-US" w:eastAsia="zh-CN"/>
              </w:rPr>
              <w:t>10</w:t>
            </w:r>
          </w:p>
        </w:tc>
        <w:tc>
          <w:tcPr>
            <w:tcW w:w="1599" w:type="dxa"/>
          </w:tcPr>
          <w:p w14:paraId="47A1340D">
            <w:pPr>
              <w:rPr>
                <w:rFonts w:ascii="仿宋_GB2312" w:hAnsi="宋体" w:eastAsia="仿宋_GB2312"/>
                <w:color w:val="000000"/>
                <w:kern w:val="0"/>
                <w:sz w:val="28"/>
                <w:szCs w:val="28"/>
              </w:rPr>
            </w:pPr>
          </w:p>
          <w:p w14:paraId="2F32357F">
            <w:pPr>
              <w:rPr>
                <w:rFonts w:ascii="Arial"/>
              </w:rPr>
            </w:pPr>
            <w:r>
              <w:rPr>
                <w:rFonts w:hint="eastAsia" w:ascii="仿宋_GB2312" w:hAnsi="宋体" w:eastAsia="仿宋_GB2312" w:cs="仿宋_GB2312"/>
                <w:color w:val="000000"/>
                <w:kern w:val="0"/>
                <w:sz w:val="28"/>
                <w:szCs w:val="28"/>
              </w:rPr>
              <w:t>对城市和经济目标的人民防空建设进行监督检查</w:t>
            </w:r>
          </w:p>
        </w:tc>
        <w:tc>
          <w:tcPr>
            <w:tcW w:w="3945" w:type="dxa"/>
          </w:tcPr>
          <w:p w14:paraId="27253ED6">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、《中华人民共和国人民防空法》第十七条：人民防空在部门应当依照规定对城市和经济目标的人民防空建设进行监督检查，被检查单位应当如实提供情况和必要的资料。</w:t>
            </w:r>
            <w:r>
              <w:rPr>
                <w:rFonts w:ascii="仿宋" w:hAnsi="仿宋" w:eastAsia="仿宋" w:cs="仿宋"/>
                <w:color w:val="000000"/>
                <w:kern w:val="0"/>
                <w:sz w:val="22"/>
                <w:szCs w:val="22"/>
              </w:rPr>
              <w:t xml:space="preserve">                                                                             2</w:t>
            </w:r>
            <w:r>
              <w:rPr>
                <w:rFonts w:hint="eastAsia" w:ascii="仿宋" w:hAnsi="仿宋" w:eastAsia="仿宋" w:cs="仿宋"/>
                <w:color w:val="000000"/>
                <w:kern w:val="0"/>
                <w:sz w:val="22"/>
                <w:szCs w:val="22"/>
              </w:rPr>
              <w:t>、《河南省实施＜中华人民共和国人民防空法＞办法》（</w:t>
            </w:r>
            <w:r>
              <w:rPr>
                <w:rFonts w:ascii="仿宋" w:hAnsi="仿宋" w:eastAsia="仿宋" w:cs="仿宋"/>
                <w:color w:val="000000"/>
                <w:kern w:val="0"/>
                <w:sz w:val="22"/>
                <w:szCs w:val="22"/>
              </w:rPr>
              <w:t>1998</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24</w:t>
            </w:r>
            <w:r>
              <w:rPr>
                <w:rFonts w:hint="eastAsia" w:ascii="仿宋" w:hAnsi="仿宋" w:eastAsia="仿宋" w:cs="仿宋"/>
                <w:color w:val="000000"/>
                <w:kern w:val="0"/>
                <w:sz w:val="22"/>
                <w:szCs w:val="22"/>
              </w:rPr>
              <w:t>日河南省第九届人民代表大会常务委员会第四次会议通过</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根据</w:t>
            </w:r>
            <w:r>
              <w:rPr>
                <w:rFonts w:ascii="仿宋" w:hAnsi="仿宋" w:eastAsia="仿宋" w:cs="仿宋"/>
                <w:color w:val="000000"/>
                <w:kern w:val="0"/>
                <w:sz w:val="22"/>
                <w:szCs w:val="22"/>
              </w:rPr>
              <w:t>2010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30</w:t>
            </w:r>
            <w:r>
              <w:rPr>
                <w:rFonts w:hint="eastAsia" w:ascii="仿宋" w:hAnsi="仿宋" w:eastAsia="仿宋" w:cs="仿宋"/>
                <w:color w:val="000000"/>
                <w:kern w:val="0"/>
                <w:sz w:val="22"/>
                <w:szCs w:val="22"/>
              </w:rPr>
              <w:t>日河南省第十一届人民代表大会常务委员会第十六次会议《关于修改部分地方性法规的决定》第一次修正</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根据</w:t>
            </w:r>
            <w:r>
              <w:rPr>
                <w:rFonts w:ascii="仿宋" w:hAnsi="仿宋" w:eastAsia="仿宋" w:cs="仿宋"/>
                <w:color w:val="000000"/>
                <w:kern w:val="0"/>
                <w:sz w:val="22"/>
                <w:szCs w:val="22"/>
              </w:rPr>
              <w:t>2020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6</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日河南省第十三届人民代表大会常务委员会第十八次会议《关于修改</w:t>
            </w:r>
            <w:r>
              <w:rPr>
                <w:rStyle w:val="21"/>
                <w:rFonts w:hint="eastAsia"/>
              </w:rPr>
              <w:t>（</w:t>
            </w:r>
            <w:r>
              <w:rPr>
                <w:rFonts w:hint="eastAsia" w:ascii="仿宋" w:hAnsi="仿宋" w:eastAsia="仿宋" w:cs="仿宋"/>
                <w:color w:val="000000"/>
                <w:kern w:val="0"/>
                <w:sz w:val="22"/>
                <w:szCs w:val="22"/>
              </w:rPr>
              <w:t>河南省人口与计划生育条例</w:t>
            </w:r>
            <w:r>
              <w:rPr>
                <w:rStyle w:val="21"/>
                <w:rFonts w:hint="eastAsia"/>
              </w:rPr>
              <w:t>）</w:t>
            </w:r>
            <w:r>
              <w:rPr>
                <w:rFonts w:hint="eastAsia" w:ascii="仿宋" w:hAnsi="仿宋" w:eastAsia="仿宋" w:cs="仿宋"/>
                <w:color w:val="000000"/>
                <w:kern w:val="0"/>
                <w:sz w:val="22"/>
                <w:szCs w:val="22"/>
              </w:rPr>
              <w:t>等八部地方性法规的决定》第二次修正）第九条：工矿企业、科研基地、交通枢纽、通信枢纽、桥梁、水库、仓库、电站等重点防护的目标，有关部门和单位应当依法修建人民防空设施，采取有效防护措施，并制定应急抢险抢修方案。对重点防护目标的人民防空建设，人民防空主管部门应当依法进行监督检查。</w:t>
            </w:r>
          </w:p>
        </w:tc>
        <w:tc>
          <w:tcPr>
            <w:tcW w:w="720" w:type="dxa"/>
          </w:tcPr>
          <w:p w14:paraId="5C41969D">
            <w:pPr>
              <w:rPr>
                <w:rFonts w:ascii="仿宋" w:hAnsi="仿宋" w:eastAsia="仿宋"/>
                <w:color w:val="000000"/>
                <w:kern w:val="0"/>
                <w:sz w:val="30"/>
                <w:szCs w:val="30"/>
              </w:rPr>
            </w:pPr>
          </w:p>
          <w:p w14:paraId="39B443C3">
            <w:pPr>
              <w:rPr>
                <w:rFonts w:ascii="仿宋" w:hAnsi="仿宋" w:eastAsia="仿宋"/>
                <w:color w:val="000000"/>
                <w:kern w:val="0"/>
                <w:sz w:val="30"/>
                <w:szCs w:val="30"/>
              </w:rPr>
            </w:pPr>
          </w:p>
          <w:p w14:paraId="3848E75F">
            <w:pPr>
              <w:ind w:left="31680" w:hanging="300" w:hangingChars="100"/>
              <w:rPr>
                <w:rFonts w:ascii="Arial" w:eastAsia="仿宋"/>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rPr>
              <w:t>行政检查</w:t>
            </w:r>
          </w:p>
        </w:tc>
        <w:tc>
          <w:tcPr>
            <w:tcW w:w="1230" w:type="dxa"/>
          </w:tcPr>
          <w:p w14:paraId="6C256D03">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91" w:type="dxa"/>
          </w:tcPr>
          <w:p w14:paraId="743A2D15">
            <w:pPr>
              <w:widowControl/>
              <w:jc w:val="left"/>
              <w:rPr>
                <w:sz w:val="24"/>
                <w:szCs w:val="24"/>
              </w:rPr>
            </w:pPr>
            <w:r>
              <w:rPr>
                <w:sz w:val="24"/>
                <w:szCs w:val="24"/>
              </w:rPr>
              <w:t>1.</w:t>
            </w:r>
            <w:r>
              <w:rPr>
                <w:rFonts w:hint="eastAsia" w:cs="宋体"/>
                <w:sz w:val="24"/>
                <w:szCs w:val="24"/>
              </w:rPr>
              <w:t>决定；</w:t>
            </w:r>
            <w:r>
              <w:rPr>
                <w:rFonts w:hint="eastAsia" w:ascii="仿宋_GB2312" w:hAnsi="仿宋_GB2312" w:eastAsia="仿宋_GB2312" w:cs="仿宋_GB2312"/>
                <w:color w:val="000000"/>
                <w:kern w:val="0"/>
                <w:sz w:val="24"/>
                <w:szCs w:val="24"/>
              </w:rPr>
              <w:t>科学制定检查计划，采取随机抽查、专项检查、交</w:t>
            </w:r>
            <w:r>
              <w:rPr>
                <w:rFonts w:ascii="仿宋_GB2312" w:hAnsi="仿宋_GB2312" w:eastAsia="仿宋_GB2312" w:cs="仿宋_GB2312"/>
                <w:color w:val="000000"/>
                <w:kern w:val="0"/>
                <w:sz w:val="24"/>
                <w:szCs w:val="24"/>
              </w:rPr>
              <w:t xml:space="preserve"> </w:t>
            </w:r>
          </w:p>
          <w:p w14:paraId="23C785C0">
            <w:pPr>
              <w:widowControl/>
              <w:jc w:val="left"/>
              <w:rPr>
                <w:sz w:val="24"/>
                <w:szCs w:val="24"/>
              </w:rPr>
            </w:pPr>
            <w:r>
              <w:rPr>
                <w:rFonts w:hint="eastAsia" w:ascii="仿宋_GB2312" w:hAnsi="仿宋_GB2312" w:eastAsia="仿宋_GB2312" w:cs="仿宋_GB2312"/>
                <w:color w:val="000000"/>
                <w:kern w:val="0"/>
                <w:sz w:val="24"/>
                <w:szCs w:val="24"/>
              </w:rPr>
              <w:t>叉检查、年度检查等检查方式。</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检查；到被检查单位查阅档案、人防工程现场实地检查，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形成检查意见和整改建议，并填写检查意见反馈表。</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督促；督促责任单位对所查隐患限期整改，并及时上报整</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改报告，逾期不整改的将进行通报。</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监管；接到整改报告后，对整改情况进行抽查，并将整改</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事项列入日常检查内容，杜绝类似问题重复发生。</w:t>
            </w:r>
          </w:p>
          <w:p w14:paraId="272857E6">
            <w:pPr>
              <w:rPr>
                <w:rFonts w:ascii="Arial"/>
              </w:rPr>
            </w:pPr>
          </w:p>
        </w:tc>
        <w:tc>
          <w:tcPr>
            <w:tcW w:w="1620" w:type="dxa"/>
          </w:tcPr>
          <w:p w14:paraId="64B82D41">
            <w:pPr>
              <w:rPr>
                <w:rFonts w:ascii="Arial"/>
              </w:rPr>
            </w:pPr>
          </w:p>
        </w:tc>
        <w:tc>
          <w:tcPr>
            <w:tcW w:w="1695" w:type="dxa"/>
          </w:tcPr>
          <w:p w14:paraId="0994338F">
            <w:pPr>
              <w:rPr>
                <w:sz w:val="28"/>
                <w:szCs w:val="28"/>
              </w:rPr>
            </w:pPr>
          </w:p>
          <w:p w14:paraId="0DAD2E70">
            <w:pPr>
              <w:rPr>
                <w:sz w:val="28"/>
                <w:szCs w:val="28"/>
              </w:rPr>
            </w:pPr>
          </w:p>
          <w:p w14:paraId="45F42B16">
            <w:pPr>
              <w:rPr>
                <w:sz w:val="28"/>
                <w:szCs w:val="28"/>
              </w:rPr>
            </w:pPr>
          </w:p>
          <w:p w14:paraId="17DD7859">
            <w:pPr>
              <w:rPr>
                <w:sz w:val="28"/>
                <w:szCs w:val="28"/>
              </w:rPr>
            </w:pPr>
          </w:p>
          <w:p w14:paraId="241AE5C1">
            <w:pPr>
              <w:rPr>
                <w:sz w:val="28"/>
                <w:szCs w:val="28"/>
              </w:rPr>
            </w:pPr>
          </w:p>
          <w:p w14:paraId="3083D78C">
            <w:pPr>
              <w:rPr>
                <w:rFonts w:hint="eastAsia" w:cs="宋体"/>
                <w:sz w:val="28"/>
                <w:szCs w:val="28"/>
              </w:rPr>
            </w:pPr>
            <w:r>
              <w:rPr>
                <w:rFonts w:hint="eastAsia" w:cs="宋体"/>
                <w:sz w:val="28"/>
                <w:szCs w:val="28"/>
              </w:rPr>
              <w:t>人防中心</w:t>
            </w:r>
          </w:p>
          <w:p w14:paraId="3B5E2DEB">
            <w:pPr>
              <w:rPr>
                <w:rFonts w:ascii="Arial"/>
              </w:rPr>
            </w:pPr>
            <w:r>
              <w:rPr>
                <w:rFonts w:hint="eastAsia" w:cs="宋体"/>
                <w:sz w:val="28"/>
                <w:szCs w:val="28"/>
              </w:rPr>
              <w:t>工程股</w:t>
            </w:r>
          </w:p>
        </w:tc>
      </w:tr>
      <w:tr w14:paraId="7577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5465" w:type="dxa"/>
            <w:gridSpan w:val="8"/>
          </w:tcPr>
          <w:p w14:paraId="41D829E5">
            <w:pPr>
              <w:spacing w:line="248" w:lineRule="auto"/>
              <w:rPr>
                <w:rFonts w:ascii="Arial"/>
              </w:rPr>
            </w:pPr>
          </w:p>
          <w:p w14:paraId="551ACA98">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4611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5465" w:type="dxa"/>
            <w:gridSpan w:val="8"/>
          </w:tcPr>
          <w:p w14:paraId="0AFC91DF">
            <w:pPr>
              <w:spacing w:line="262" w:lineRule="auto"/>
              <w:rPr>
                <w:rFonts w:ascii="Arial"/>
              </w:rPr>
            </w:pPr>
          </w:p>
          <w:p w14:paraId="7479DB0A">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3807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65" w:type="dxa"/>
          </w:tcPr>
          <w:p w14:paraId="65AF4753">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599" w:type="dxa"/>
          </w:tcPr>
          <w:p w14:paraId="1E8DFCC4">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945" w:type="dxa"/>
          </w:tcPr>
          <w:p w14:paraId="3921130E">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720" w:type="dxa"/>
          </w:tcPr>
          <w:p w14:paraId="7ABD4BF4">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23192034">
            <w:pPr>
              <w:spacing w:before="1" w:line="209" w:lineRule="auto"/>
              <w:ind w:left="287"/>
              <w:rPr>
                <w:rFonts w:ascii="宋体"/>
                <w:sz w:val="24"/>
                <w:szCs w:val="24"/>
              </w:rPr>
            </w:pPr>
            <w:r>
              <w:rPr>
                <w:rFonts w:hint="eastAsia" w:ascii="宋体" w:hAnsi="宋体" w:cs="宋体"/>
                <w:b/>
                <w:bCs/>
                <w:spacing w:val="3"/>
                <w:sz w:val="24"/>
                <w:szCs w:val="24"/>
              </w:rPr>
              <w:t>类别</w:t>
            </w:r>
          </w:p>
        </w:tc>
        <w:tc>
          <w:tcPr>
            <w:tcW w:w="1230" w:type="dxa"/>
          </w:tcPr>
          <w:p w14:paraId="6044E653">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91" w:type="dxa"/>
          </w:tcPr>
          <w:p w14:paraId="2EB69DD6">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20" w:type="dxa"/>
          </w:tcPr>
          <w:p w14:paraId="73913041">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95" w:type="dxa"/>
          </w:tcPr>
          <w:p w14:paraId="3A7AFBD1">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7EDD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3" w:hRule="atLeast"/>
        </w:trPr>
        <w:tc>
          <w:tcPr>
            <w:tcW w:w="1065" w:type="dxa"/>
          </w:tcPr>
          <w:p w14:paraId="6210E1D1">
            <w:pPr>
              <w:spacing w:line="260" w:lineRule="auto"/>
              <w:rPr>
                <w:rFonts w:ascii="Arial"/>
              </w:rPr>
            </w:pPr>
          </w:p>
          <w:p w14:paraId="4AB5F161">
            <w:pPr>
              <w:spacing w:line="260" w:lineRule="auto"/>
              <w:rPr>
                <w:rFonts w:ascii="Arial"/>
              </w:rPr>
            </w:pPr>
          </w:p>
          <w:p w14:paraId="1C352828">
            <w:pPr>
              <w:spacing w:line="260" w:lineRule="auto"/>
              <w:rPr>
                <w:rFonts w:ascii="Arial"/>
              </w:rPr>
            </w:pPr>
          </w:p>
          <w:p w14:paraId="1A109A4C">
            <w:pPr>
              <w:spacing w:line="260" w:lineRule="auto"/>
              <w:rPr>
                <w:rFonts w:ascii="Arial"/>
              </w:rPr>
            </w:pPr>
          </w:p>
          <w:p w14:paraId="6119C2FC">
            <w:pPr>
              <w:spacing w:line="260" w:lineRule="auto"/>
              <w:rPr>
                <w:rFonts w:ascii="Arial"/>
              </w:rPr>
            </w:pPr>
          </w:p>
          <w:p w14:paraId="2CB1073F">
            <w:pPr>
              <w:spacing w:before="78" w:line="184" w:lineRule="auto"/>
              <w:ind w:firstLine="480" w:firstLineChars="200"/>
              <w:rPr>
                <w:rFonts w:hint="default" w:ascii="宋体" w:eastAsia="宋体"/>
                <w:sz w:val="24"/>
                <w:szCs w:val="24"/>
                <w:lang w:val="en-US" w:eastAsia="zh-CN"/>
              </w:rPr>
            </w:pPr>
            <w:r>
              <w:rPr>
                <w:rFonts w:hint="eastAsia" w:ascii="宋体" w:hAnsi="宋体" w:cs="宋体"/>
                <w:sz w:val="24"/>
                <w:szCs w:val="24"/>
                <w:lang w:val="en-US" w:eastAsia="zh-CN"/>
              </w:rPr>
              <w:t>11</w:t>
            </w:r>
          </w:p>
        </w:tc>
        <w:tc>
          <w:tcPr>
            <w:tcW w:w="1599" w:type="dxa"/>
          </w:tcPr>
          <w:p w14:paraId="72A23A49">
            <w:pPr>
              <w:rPr>
                <w:rFonts w:ascii="仿宋_GB2312" w:hAnsi="宋体" w:eastAsia="仿宋_GB2312"/>
                <w:color w:val="000000"/>
                <w:kern w:val="0"/>
                <w:sz w:val="28"/>
                <w:szCs w:val="28"/>
              </w:rPr>
            </w:pPr>
          </w:p>
          <w:p w14:paraId="3CE4AA0E">
            <w:pPr>
              <w:rPr>
                <w:rFonts w:ascii="Arial"/>
              </w:rPr>
            </w:pPr>
            <w:r>
              <w:rPr>
                <w:rFonts w:hint="eastAsia" w:ascii="仿宋_GB2312" w:hAnsi="宋体" w:eastAsia="仿宋_GB2312" w:cs="仿宋_GB2312"/>
                <w:color w:val="000000"/>
                <w:kern w:val="0"/>
                <w:sz w:val="28"/>
                <w:szCs w:val="28"/>
              </w:rPr>
              <w:t>人防工程维护管理的监督检查</w:t>
            </w:r>
          </w:p>
        </w:tc>
        <w:tc>
          <w:tcPr>
            <w:tcW w:w="3945" w:type="dxa"/>
          </w:tcPr>
          <w:p w14:paraId="460FC374">
            <w:pPr>
              <w:rPr>
                <w:rFonts w:ascii="仿宋" w:hAnsi="仿宋" w:eastAsia="仿宋"/>
                <w:color w:val="000000"/>
                <w:kern w:val="0"/>
                <w:sz w:val="22"/>
                <w:szCs w:val="22"/>
              </w:rPr>
            </w:pPr>
          </w:p>
          <w:p w14:paraId="348CC642">
            <w:pPr>
              <w:rPr>
                <w:rFonts w:ascii="仿宋" w:hAnsi="仿宋" w:eastAsia="仿宋"/>
                <w:color w:val="000000"/>
                <w:kern w:val="0"/>
                <w:sz w:val="22"/>
                <w:szCs w:val="22"/>
              </w:rPr>
            </w:pPr>
          </w:p>
          <w:p w14:paraId="46FCB794">
            <w:pPr>
              <w:rPr>
                <w:rFonts w:ascii="仿宋" w:hAnsi="仿宋" w:eastAsia="仿宋"/>
                <w:color w:val="000000"/>
                <w:kern w:val="0"/>
                <w:sz w:val="22"/>
                <w:szCs w:val="22"/>
              </w:rPr>
            </w:pPr>
          </w:p>
          <w:p w14:paraId="5F9B90E8">
            <w:pPr>
              <w:rPr>
                <w:rFonts w:ascii="仿宋" w:hAnsi="仿宋" w:eastAsia="仿宋"/>
                <w:color w:val="000000"/>
                <w:kern w:val="0"/>
                <w:sz w:val="22"/>
                <w:szCs w:val="22"/>
              </w:rPr>
            </w:pPr>
          </w:p>
          <w:p w14:paraId="1BEB6384">
            <w:pPr>
              <w:rPr>
                <w:rFonts w:ascii="Arial"/>
              </w:rPr>
            </w:pPr>
            <w:r>
              <w:rPr>
                <w:rFonts w:hint="eastAsia" w:ascii="仿宋" w:hAnsi="仿宋" w:eastAsia="仿宋" w:cs="仿宋"/>
                <w:color w:val="000000"/>
                <w:kern w:val="0"/>
                <w:sz w:val="22"/>
                <w:szCs w:val="22"/>
              </w:rPr>
              <w:t>《中华人民共和国人民防空法》（</w:t>
            </w:r>
            <w:r>
              <w:rPr>
                <w:rFonts w:ascii="仿宋" w:hAnsi="仿宋" w:eastAsia="仿宋" w:cs="仿宋"/>
                <w:color w:val="000000"/>
                <w:kern w:val="0"/>
                <w:sz w:val="22"/>
                <w:szCs w:val="22"/>
              </w:rPr>
              <w:t>1.1996</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29</w:t>
            </w:r>
            <w:r>
              <w:rPr>
                <w:rFonts w:hint="eastAsia" w:ascii="仿宋" w:hAnsi="仿宋" w:eastAsia="仿宋" w:cs="仿宋"/>
                <w:color w:val="000000"/>
                <w:kern w:val="0"/>
                <w:sz w:val="22"/>
                <w:szCs w:val="22"/>
              </w:rPr>
              <w:t>日</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第八届全国人民代表大会常务委员会第二十二次会议通过</w:t>
            </w:r>
            <w:r>
              <w:rPr>
                <w:rFonts w:ascii="仿宋" w:hAnsi="仿宋" w:eastAsia="仿宋" w:cs="仿宋"/>
                <w:color w:val="000000"/>
                <w:kern w:val="0"/>
                <w:sz w:val="22"/>
                <w:szCs w:val="22"/>
              </w:rPr>
              <w:t xml:space="preserve">  1996</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29</w:t>
            </w:r>
            <w:r>
              <w:rPr>
                <w:rFonts w:hint="eastAsia" w:ascii="仿宋" w:hAnsi="仿宋" w:eastAsia="仿宋" w:cs="仿宋"/>
                <w:color w:val="000000"/>
                <w:kern w:val="0"/>
                <w:sz w:val="22"/>
                <w:szCs w:val="22"/>
              </w:rPr>
              <w:t>日中华人民共和国主席令第</w:t>
            </w:r>
            <w:r>
              <w:rPr>
                <w:rFonts w:ascii="仿宋" w:hAnsi="仿宋" w:eastAsia="仿宋" w:cs="仿宋"/>
                <w:color w:val="000000"/>
                <w:kern w:val="0"/>
                <w:sz w:val="22"/>
                <w:szCs w:val="22"/>
              </w:rPr>
              <w:t>78</w:t>
            </w:r>
            <w:r>
              <w:rPr>
                <w:rFonts w:hint="eastAsia" w:ascii="仿宋" w:hAnsi="仿宋" w:eastAsia="仿宋" w:cs="仿宋"/>
                <w:color w:val="000000"/>
                <w:kern w:val="0"/>
                <w:sz w:val="22"/>
                <w:szCs w:val="22"/>
              </w:rPr>
              <w:t>号公布</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自</w:t>
            </w:r>
            <w:r>
              <w:rPr>
                <w:rFonts w:ascii="仿宋" w:hAnsi="仿宋" w:eastAsia="仿宋" w:cs="仿宋"/>
                <w:color w:val="000000"/>
                <w:kern w:val="0"/>
                <w:sz w:val="22"/>
                <w:szCs w:val="22"/>
              </w:rPr>
              <w:t>1997</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日起施行</w:t>
            </w:r>
            <w:r>
              <w:rPr>
                <w:rFonts w:ascii="仿宋" w:hAnsi="仿宋" w:eastAsia="仿宋" w:cs="仿宋"/>
                <w:color w:val="000000"/>
                <w:kern w:val="0"/>
                <w:sz w:val="22"/>
                <w:szCs w:val="22"/>
              </w:rPr>
              <w:t xml:space="preserve">  2.</w:t>
            </w:r>
            <w:r>
              <w:rPr>
                <w:rFonts w:hint="eastAsia" w:ascii="仿宋" w:hAnsi="仿宋" w:eastAsia="仿宋" w:cs="仿宋"/>
                <w:color w:val="000000"/>
                <w:kern w:val="0"/>
                <w:sz w:val="22"/>
                <w:szCs w:val="22"/>
              </w:rPr>
              <w:t>根据</w:t>
            </w:r>
            <w:r>
              <w:rPr>
                <w:rFonts w:ascii="仿宋" w:hAnsi="仿宋" w:eastAsia="仿宋" w:cs="仿宋"/>
                <w:color w:val="000000"/>
                <w:kern w:val="0"/>
                <w:sz w:val="22"/>
                <w:szCs w:val="22"/>
              </w:rPr>
              <w:t>2009</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8</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27</w:t>
            </w:r>
            <w:r>
              <w:rPr>
                <w:rFonts w:hint="eastAsia" w:ascii="仿宋" w:hAnsi="仿宋" w:eastAsia="仿宋" w:cs="仿宋"/>
                <w:color w:val="000000"/>
                <w:kern w:val="0"/>
                <w:sz w:val="22"/>
                <w:szCs w:val="22"/>
              </w:rPr>
              <w:t>日第十一届全国人民代表大会常务委员会第十次会议《关于修改部分法律的决定》修正）第二十五条第一款：人民防空主管部门对人民防空工程的维护管理进行监督检查。</w:t>
            </w:r>
          </w:p>
        </w:tc>
        <w:tc>
          <w:tcPr>
            <w:tcW w:w="720" w:type="dxa"/>
          </w:tcPr>
          <w:p w14:paraId="31902108">
            <w:pPr>
              <w:rPr>
                <w:rFonts w:ascii="仿宋" w:hAnsi="仿宋" w:eastAsia="仿宋"/>
                <w:color w:val="000000"/>
                <w:kern w:val="0"/>
                <w:sz w:val="30"/>
                <w:szCs w:val="30"/>
              </w:rPr>
            </w:pPr>
          </w:p>
          <w:p w14:paraId="2B0489E9">
            <w:pPr>
              <w:rPr>
                <w:rFonts w:ascii="仿宋" w:hAnsi="仿宋" w:eastAsia="仿宋"/>
                <w:color w:val="000000"/>
                <w:kern w:val="0"/>
                <w:sz w:val="30"/>
                <w:szCs w:val="30"/>
              </w:rPr>
            </w:pPr>
          </w:p>
          <w:p w14:paraId="1D567733">
            <w:pPr>
              <w:rPr>
                <w:rFonts w:ascii="Arial"/>
              </w:rPr>
            </w:pPr>
            <w:r>
              <w:rPr>
                <w:rFonts w:hint="eastAsia" w:ascii="仿宋" w:hAnsi="仿宋" w:eastAsia="仿宋" w:cs="仿宋"/>
                <w:color w:val="000000"/>
                <w:kern w:val="0"/>
                <w:sz w:val="30"/>
                <w:szCs w:val="30"/>
              </w:rPr>
              <w:t>行政检查</w:t>
            </w:r>
          </w:p>
        </w:tc>
        <w:tc>
          <w:tcPr>
            <w:tcW w:w="1230" w:type="dxa"/>
          </w:tcPr>
          <w:p w14:paraId="793A3EBD">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91" w:type="dxa"/>
          </w:tcPr>
          <w:p w14:paraId="21D070AA">
            <w:pPr>
              <w:widowControl/>
              <w:jc w:val="left"/>
              <w:rPr>
                <w:sz w:val="24"/>
                <w:szCs w:val="24"/>
              </w:rPr>
            </w:pPr>
          </w:p>
          <w:p w14:paraId="50C5B376">
            <w:pPr>
              <w:widowControl/>
              <w:jc w:val="left"/>
              <w:rPr>
                <w:sz w:val="24"/>
                <w:szCs w:val="24"/>
              </w:rPr>
            </w:pPr>
          </w:p>
          <w:p w14:paraId="3985F0FC">
            <w:pPr>
              <w:widowControl/>
              <w:jc w:val="left"/>
              <w:rPr>
                <w:sz w:val="24"/>
                <w:szCs w:val="24"/>
              </w:rPr>
            </w:pPr>
            <w:r>
              <w:rPr>
                <w:sz w:val="24"/>
                <w:szCs w:val="24"/>
              </w:rPr>
              <w:t>1.</w:t>
            </w:r>
            <w:r>
              <w:rPr>
                <w:rFonts w:hint="eastAsia" w:cs="宋体"/>
                <w:sz w:val="24"/>
                <w:szCs w:val="24"/>
              </w:rPr>
              <w:t>决定；</w:t>
            </w:r>
            <w:r>
              <w:rPr>
                <w:rFonts w:hint="eastAsia" w:ascii="仿宋_GB2312" w:hAnsi="仿宋_GB2312" w:eastAsia="仿宋_GB2312" w:cs="仿宋_GB2312"/>
                <w:color w:val="000000"/>
                <w:kern w:val="0"/>
                <w:sz w:val="24"/>
                <w:szCs w:val="24"/>
              </w:rPr>
              <w:t>科学制定检查计划，采取随机抽查、专项检查、交</w:t>
            </w:r>
            <w:r>
              <w:rPr>
                <w:rFonts w:ascii="仿宋_GB2312" w:hAnsi="仿宋_GB2312" w:eastAsia="仿宋_GB2312" w:cs="仿宋_GB2312"/>
                <w:color w:val="000000"/>
                <w:kern w:val="0"/>
                <w:sz w:val="24"/>
                <w:szCs w:val="24"/>
              </w:rPr>
              <w:t xml:space="preserve"> </w:t>
            </w:r>
          </w:p>
          <w:p w14:paraId="6853D0BB">
            <w:pPr>
              <w:widowControl/>
              <w:jc w:val="left"/>
              <w:rPr>
                <w:sz w:val="24"/>
                <w:szCs w:val="24"/>
              </w:rPr>
            </w:pPr>
            <w:r>
              <w:rPr>
                <w:rFonts w:hint="eastAsia" w:ascii="仿宋_GB2312" w:hAnsi="仿宋_GB2312" w:eastAsia="仿宋_GB2312" w:cs="仿宋_GB2312"/>
                <w:color w:val="000000"/>
                <w:kern w:val="0"/>
                <w:sz w:val="24"/>
                <w:szCs w:val="24"/>
              </w:rPr>
              <w:t>叉检查、年度检查等检查方式。</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检查；到被检查单位查阅档案、人防工程现场实地检查，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形成检查意见和整改建议，并填写检查意见反馈表。</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督促；督促责任单位对所查隐患限期整改，并及时上报整</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改报告，逾期不整改的将进行通报。</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监管；接到整改报告后，对整改情况进行抽查，并将整改</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事项列入日常检查内容，杜绝类似问题重复发生。</w:t>
            </w:r>
          </w:p>
          <w:p w14:paraId="0F0E15E8">
            <w:pPr>
              <w:rPr>
                <w:rFonts w:ascii="Arial"/>
              </w:rPr>
            </w:pPr>
          </w:p>
        </w:tc>
        <w:tc>
          <w:tcPr>
            <w:tcW w:w="1620" w:type="dxa"/>
          </w:tcPr>
          <w:p w14:paraId="69909884">
            <w:pPr>
              <w:widowControl/>
              <w:jc w:val="left"/>
              <w:rPr>
                <w:sz w:val="24"/>
                <w:szCs w:val="24"/>
              </w:rPr>
            </w:pPr>
            <w:r>
              <w:rPr>
                <w:sz w:val="24"/>
                <w:szCs w:val="24"/>
              </w:rPr>
              <w:t>1.</w:t>
            </w:r>
            <w:r>
              <w:rPr>
                <w:rFonts w:hint="eastAsia" w:cs="宋体"/>
                <w:sz w:val="24"/>
                <w:szCs w:val="24"/>
              </w:rPr>
              <w:t>决定；</w:t>
            </w:r>
            <w:r>
              <w:rPr>
                <w:rFonts w:hint="eastAsia" w:ascii="仿宋_GB2312" w:hAnsi="仿宋_GB2312" w:eastAsia="仿宋_GB2312" w:cs="仿宋_GB2312"/>
                <w:color w:val="000000"/>
                <w:kern w:val="0"/>
                <w:sz w:val="24"/>
                <w:szCs w:val="24"/>
              </w:rPr>
              <w:t>科学制定检查计划，采取随机抽查、专项检查、交</w:t>
            </w:r>
            <w:r>
              <w:rPr>
                <w:rFonts w:ascii="仿宋_GB2312" w:hAnsi="仿宋_GB2312" w:eastAsia="仿宋_GB2312" w:cs="仿宋_GB2312"/>
                <w:color w:val="000000"/>
                <w:kern w:val="0"/>
                <w:sz w:val="24"/>
                <w:szCs w:val="24"/>
              </w:rPr>
              <w:t xml:space="preserve"> </w:t>
            </w:r>
          </w:p>
          <w:p w14:paraId="7B491B69">
            <w:pPr>
              <w:widowControl/>
              <w:jc w:val="left"/>
              <w:rPr>
                <w:sz w:val="24"/>
                <w:szCs w:val="24"/>
              </w:rPr>
            </w:pPr>
            <w:r>
              <w:rPr>
                <w:rFonts w:hint="eastAsia" w:ascii="仿宋_GB2312" w:hAnsi="仿宋_GB2312" w:eastAsia="仿宋_GB2312" w:cs="仿宋_GB2312"/>
                <w:color w:val="000000"/>
                <w:kern w:val="0"/>
                <w:sz w:val="24"/>
                <w:szCs w:val="24"/>
              </w:rPr>
              <w:t>叉检查、年度检查等检查方式。</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检查；到被检查单位查阅档案、人防工程现场实地检查，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形成检查意见和整改建议，并填写检查意见反馈表。</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督促；督促责任单位对所查隐患限期整改，并及时上报整</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改报告，逾期不整改的将进行通报。</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监管；接到整改报告后，对整改情况进行抽查，并将整改</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事项列入日常检查内容，杜绝类似问题重复发生。</w:t>
            </w:r>
          </w:p>
          <w:p w14:paraId="268C47E7">
            <w:pPr>
              <w:rPr>
                <w:rFonts w:ascii="Arial"/>
              </w:rPr>
            </w:pPr>
          </w:p>
        </w:tc>
        <w:tc>
          <w:tcPr>
            <w:tcW w:w="1695" w:type="dxa"/>
          </w:tcPr>
          <w:p w14:paraId="727DDE71">
            <w:pPr>
              <w:rPr>
                <w:sz w:val="28"/>
                <w:szCs w:val="28"/>
              </w:rPr>
            </w:pPr>
          </w:p>
          <w:p w14:paraId="5ED38229">
            <w:pPr>
              <w:rPr>
                <w:sz w:val="28"/>
                <w:szCs w:val="28"/>
              </w:rPr>
            </w:pPr>
          </w:p>
          <w:p w14:paraId="6AB8E207">
            <w:pPr>
              <w:rPr>
                <w:sz w:val="28"/>
                <w:szCs w:val="28"/>
              </w:rPr>
            </w:pPr>
          </w:p>
          <w:p w14:paraId="19B9CB5A">
            <w:pPr>
              <w:rPr>
                <w:sz w:val="28"/>
                <w:szCs w:val="28"/>
              </w:rPr>
            </w:pPr>
          </w:p>
          <w:p w14:paraId="58DE470C">
            <w:pPr>
              <w:rPr>
                <w:sz w:val="28"/>
                <w:szCs w:val="28"/>
              </w:rPr>
            </w:pPr>
          </w:p>
          <w:p w14:paraId="6BFCCFA8">
            <w:pPr>
              <w:rPr>
                <w:sz w:val="28"/>
                <w:szCs w:val="28"/>
              </w:rPr>
            </w:pPr>
          </w:p>
          <w:p w14:paraId="2814CFCF">
            <w:pPr>
              <w:rPr>
                <w:sz w:val="28"/>
                <w:szCs w:val="28"/>
              </w:rPr>
            </w:pPr>
          </w:p>
          <w:p w14:paraId="62817E18">
            <w:pPr>
              <w:rPr>
                <w:sz w:val="28"/>
                <w:szCs w:val="28"/>
              </w:rPr>
            </w:pPr>
          </w:p>
          <w:p w14:paraId="15CA67AC">
            <w:pPr>
              <w:rPr>
                <w:sz w:val="28"/>
                <w:szCs w:val="28"/>
              </w:rPr>
            </w:pPr>
          </w:p>
          <w:p w14:paraId="6CA12C8F">
            <w:pPr>
              <w:rPr>
                <w:sz w:val="28"/>
                <w:szCs w:val="28"/>
              </w:rPr>
            </w:pPr>
          </w:p>
          <w:p w14:paraId="1030DE63">
            <w:pPr>
              <w:rPr>
                <w:sz w:val="28"/>
                <w:szCs w:val="28"/>
              </w:rPr>
            </w:pPr>
          </w:p>
          <w:p w14:paraId="62310B51">
            <w:pPr>
              <w:rPr>
                <w:rFonts w:hint="eastAsia" w:cs="宋体"/>
                <w:sz w:val="28"/>
                <w:szCs w:val="28"/>
              </w:rPr>
            </w:pPr>
            <w:r>
              <w:rPr>
                <w:rFonts w:hint="eastAsia" w:cs="宋体"/>
                <w:sz w:val="28"/>
                <w:szCs w:val="28"/>
              </w:rPr>
              <w:t>人防中心</w:t>
            </w:r>
          </w:p>
          <w:p w14:paraId="0AF55148">
            <w:pPr>
              <w:rPr>
                <w:rFonts w:ascii="Arial"/>
              </w:rPr>
            </w:pPr>
            <w:r>
              <w:rPr>
                <w:rFonts w:hint="eastAsia" w:cs="宋体"/>
                <w:sz w:val="28"/>
                <w:szCs w:val="28"/>
              </w:rPr>
              <w:t>工程股</w:t>
            </w:r>
          </w:p>
        </w:tc>
      </w:tr>
      <w:tr w14:paraId="5C07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465" w:type="dxa"/>
            <w:gridSpan w:val="8"/>
          </w:tcPr>
          <w:p w14:paraId="3DF8D7FD">
            <w:pPr>
              <w:spacing w:line="248" w:lineRule="auto"/>
              <w:rPr>
                <w:rFonts w:ascii="Arial"/>
              </w:rPr>
            </w:pPr>
          </w:p>
          <w:p w14:paraId="337CB9EA">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4CED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15465" w:type="dxa"/>
            <w:gridSpan w:val="8"/>
          </w:tcPr>
          <w:p w14:paraId="55910C35">
            <w:pPr>
              <w:spacing w:line="262" w:lineRule="auto"/>
              <w:rPr>
                <w:rFonts w:ascii="Arial"/>
              </w:rPr>
            </w:pPr>
          </w:p>
          <w:p w14:paraId="608A5BBF">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07D9D0B6">
      <w:pPr>
        <w:spacing w:line="520" w:lineRule="exact"/>
        <w:jc w:val="center"/>
        <w:rPr>
          <w:rFonts w:ascii="方正小标宋_GBK" w:hAnsi="方正小标宋_GBK" w:eastAsia="方正小标宋_GBK"/>
          <w:kern w:val="0"/>
          <w:sz w:val="44"/>
          <w:szCs w:val="44"/>
        </w:rPr>
      </w:pPr>
    </w:p>
    <w:p w14:paraId="5B180955">
      <w:pPr>
        <w:rPr>
          <w:rFonts w:ascii="Arial"/>
        </w:rPr>
      </w:pPr>
    </w:p>
    <w:p w14:paraId="19273B4C">
      <w:pPr>
        <w:rPr>
          <w:rFonts w:ascii="Arial"/>
        </w:rPr>
      </w:pPr>
    </w:p>
    <w:tbl>
      <w:tblPr>
        <w:tblStyle w:val="8"/>
        <w:tblW w:w="15450"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1896"/>
        <w:gridCol w:w="3285"/>
        <w:gridCol w:w="930"/>
        <w:gridCol w:w="1470"/>
        <w:gridCol w:w="3285"/>
        <w:gridCol w:w="1875"/>
        <w:gridCol w:w="1680"/>
      </w:tblGrid>
      <w:tr w14:paraId="21ED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tcPr>
          <w:p w14:paraId="47D7CB55">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96" w:type="dxa"/>
          </w:tcPr>
          <w:p w14:paraId="39BF0F11">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285" w:type="dxa"/>
          </w:tcPr>
          <w:p w14:paraId="5697049C">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0" w:type="dxa"/>
          </w:tcPr>
          <w:p w14:paraId="13BA9A71">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478045F4">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0" w:type="dxa"/>
          </w:tcPr>
          <w:p w14:paraId="2FEB6A68">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285" w:type="dxa"/>
          </w:tcPr>
          <w:p w14:paraId="3C0F33EB">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875" w:type="dxa"/>
          </w:tcPr>
          <w:p w14:paraId="25C9C8EB">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80" w:type="dxa"/>
          </w:tcPr>
          <w:p w14:paraId="1367A7BF">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09F0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9" w:hRule="atLeast"/>
        </w:trPr>
        <w:tc>
          <w:tcPr>
            <w:tcW w:w="1029" w:type="dxa"/>
          </w:tcPr>
          <w:p w14:paraId="54A391F9">
            <w:pPr>
              <w:spacing w:line="260" w:lineRule="auto"/>
              <w:rPr>
                <w:rFonts w:ascii="Arial"/>
              </w:rPr>
            </w:pPr>
          </w:p>
          <w:p w14:paraId="110B02FB">
            <w:pPr>
              <w:spacing w:line="260" w:lineRule="auto"/>
              <w:rPr>
                <w:rFonts w:ascii="Arial"/>
              </w:rPr>
            </w:pPr>
          </w:p>
          <w:p w14:paraId="0A472A01">
            <w:pPr>
              <w:spacing w:line="260" w:lineRule="auto"/>
              <w:rPr>
                <w:rFonts w:ascii="Arial"/>
              </w:rPr>
            </w:pPr>
          </w:p>
          <w:p w14:paraId="603E00B5">
            <w:pPr>
              <w:spacing w:line="260" w:lineRule="auto"/>
              <w:rPr>
                <w:rFonts w:ascii="Arial"/>
              </w:rPr>
            </w:pPr>
          </w:p>
          <w:p w14:paraId="37BEA88B">
            <w:pPr>
              <w:spacing w:before="78" w:line="184" w:lineRule="auto"/>
              <w:ind w:firstLine="480" w:firstLineChars="200"/>
              <w:rPr>
                <w:rFonts w:hint="eastAsia" w:ascii="宋体" w:eastAsia="宋体"/>
                <w:sz w:val="24"/>
                <w:szCs w:val="24"/>
                <w:lang w:eastAsia="zh-CN"/>
              </w:rPr>
            </w:pPr>
            <w:r>
              <w:rPr>
                <w:rFonts w:ascii="宋体" w:hAnsi="宋体" w:cs="宋体"/>
                <w:sz w:val="24"/>
                <w:szCs w:val="24"/>
              </w:rPr>
              <w:t>1</w:t>
            </w:r>
            <w:r>
              <w:rPr>
                <w:rFonts w:hint="eastAsia" w:ascii="宋体" w:hAnsi="宋体" w:cs="宋体"/>
                <w:sz w:val="24"/>
                <w:szCs w:val="24"/>
                <w:lang w:val="en-US" w:eastAsia="zh-CN"/>
              </w:rPr>
              <w:t>2</w:t>
            </w:r>
          </w:p>
        </w:tc>
        <w:tc>
          <w:tcPr>
            <w:tcW w:w="1896" w:type="dxa"/>
          </w:tcPr>
          <w:p w14:paraId="34802823">
            <w:pPr>
              <w:rPr>
                <w:rFonts w:ascii="仿宋_GB2312" w:hAnsi="宋体" w:eastAsia="仿宋_GB2312"/>
                <w:color w:val="000000"/>
                <w:kern w:val="0"/>
                <w:sz w:val="28"/>
                <w:szCs w:val="28"/>
              </w:rPr>
            </w:pPr>
          </w:p>
          <w:p w14:paraId="02C231F7">
            <w:pPr>
              <w:rPr>
                <w:rFonts w:ascii="Arial"/>
              </w:rPr>
            </w:pPr>
            <w:r>
              <w:rPr>
                <w:rFonts w:hint="eastAsia" w:ascii="仿宋_GB2312" w:hAnsi="宋体" w:eastAsia="仿宋_GB2312" w:cs="仿宋_GB2312"/>
                <w:color w:val="000000"/>
                <w:kern w:val="0"/>
                <w:sz w:val="28"/>
                <w:szCs w:val="28"/>
              </w:rPr>
              <w:t>防空地下室易地建设费使用管理情况监督检查</w:t>
            </w:r>
          </w:p>
        </w:tc>
        <w:tc>
          <w:tcPr>
            <w:tcW w:w="3285" w:type="dxa"/>
          </w:tcPr>
          <w:p w14:paraId="1EF0E964">
            <w:pPr>
              <w:rPr>
                <w:rFonts w:ascii="仿宋" w:hAnsi="仿宋" w:eastAsia="仿宋"/>
                <w:color w:val="000000"/>
                <w:kern w:val="0"/>
                <w:sz w:val="22"/>
                <w:szCs w:val="22"/>
              </w:rPr>
            </w:pPr>
          </w:p>
          <w:p w14:paraId="7370A820">
            <w:pPr>
              <w:rPr>
                <w:rFonts w:ascii="Arial"/>
              </w:rPr>
            </w:pPr>
            <w:r>
              <w:rPr>
                <w:rFonts w:hint="eastAsia" w:ascii="仿宋" w:hAnsi="仿宋" w:eastAsia="仿宋" w:cs="仿宋"/>
                <w:color w:val="000000"/>
                <w:kern w:val="0"/>
                <w:sz w:val="22"/>
                <w:szCs w:val="22"/>
              </w:rPr>
              <w:t>《国务院</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中央军委关于进一步推进人民防空事业发展的若干意见》（国发〔</w:t>
            </w:r>
            <w:r>
              <w:rPr>
                <w:rFonts w:ascii="仿宋" w:hAnsi="仿宋" w:eastAsia="仿宋" w:cs="仿宋"/>
                <w:color w:val="000000"/>
                <w:kern w:val="0"/>
                <w:sz w:val="22"/>
                <w:szCs w:val="22"/>
              </w:rPr>
              <w:t>2008</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号）第七款第二十二条：人民防空部门要严格按照规定的范围和标准征收民用建筑防空地下室易地建设费，资金全额纳入财政预算管理，专项用于易地建设人民防空工程，任何单位和个人不得挤占、截留和挪用。各级财政、审计、人民防空部门，要加强对易地建设费征缴、使用管理情况的审计、监督和检查。</w:t>
            </w:r>
          </w:p>
        </w:tc>
        <w:tc>
          <w:tcPr>
            <w:tcW w:w="930" w:type="dxa"/>
          </w:tcPr>
          <w:p w14:paraId="0889FC54">
            <w:pPr>
              <w:rPr>
                <w:rFonts w:ascii="Arial"/>
              </w:rPr>
            </w:pPr>
          </w:p>
          <w:p w14:paraId="6A23B978">
            <w:pPr>
              <w:rPr>
                <w:rFonts w:hint="eastAsia"/>
                <w:sz w:val="30"/>
                <w:szCs w:val="30"/>
                <w:lang w:val="en-US" w:eastAsia="zh-CN"/>
              </w:rPr>
            </w:pPr>
            <w:r>
              <w:rPr>
                <w:rFonts w:hint="eastAsia"/>
                <w:sz w:val="30"/>
                <w:szCs w:val="30"/>
                <w:lang w:val="en-US" w:eastAsia="zh-CN"/>
              </w:rPr>
              <w:t>行政</w:t>
            </w:r>
          </w:p>
          <w:p w14:paraId="7255997B">
            <w:pPr>
              <w:rPr>
                <w:rFonts w:hint="eastAsia" w:eastAsia="宋体"/>
                <w:lang w:val="en-US" w:eastAsia="zh-CN"/>
              </w:rPr>
            </w:pPr>
            <w:r>
              <w:rPr>
                <w:rFonts w:hint="eastAsia"/>
                <w:sz w:val="30"/>
                <w:szCs w:val="30"/>
                <w:lang w:val="en-US" w:eastAsia="zh-CN"/>
              </w:rPr>
              <w:t>检查</w:t>
            </w:r>
          </w:p>
        </w:tc>
        <w:tc>
          <w:tcPr>
            <w:tcW w:w="1470" w:type="dxa"/>
          </w:tcPr>
          <w:p w14:paraId="5CEE4211">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285" w:type="dxa"/>
          </w:tcPr>
          <w:p w14:paraId="4495BD86">
            <w:pPr>
              <w:widowControl/>
              <w:jc w:val="left"/>
              <w:rPr>
                <w:sz w:val="24"/>
                <w:szCs w:val="24"/>
              </w:rPr>
            </w:pPr>
            <w:r>
              <w:t>1</w:t>
            </w:r>
            <w:r>
              <w:rPr>
                <w:sz w:val="24"/>
                <w:szCs w:val="24"/>
              </w:rPr>
              <w:t>.</w:t>
            </w:r>
            <w:r>
              <w:rPr>
                <w:rFonts w:hint="eastAsia" w:cs="宋体"/>
                <w:sz w:val="24"/>
                <w:szCs w:val="24"/>
              </w:rPr>
              <w:t>决定；</w:t>
            </w:r>
            <w:r>
              <w:rPr>
                <w:rFonts w:hint="eastAsia" w:ascii="仿宋_GB2312" w:hAnsi="仿宋_GB2312" w:eastAsia="仿宋_GB2312" w:cs="仿宋_GB2312"/>
                <w:color w:val="000000"/>
                <w:kern w:val="0"/>
                <w:sz w:val="24"/>
                <w:szCs w:val="24"/>
              </w:rPr>
              <w:t>科学制定检查计划，采取随机抽查、专项检查、交</w:t>
            </w:r>
            <w:r>
              <w:rPr>
                <w:rFonts w:ascii="仿宋_GB2312" w:hAnsi="仿宋_GB2312" w:eastAsia="仿宋_GB2312" w:cs="仿宋_GB2312"/>
                <w:color w:val="000000"/>
                <w:kern w:val="0"/>
                <w:sz w:val="24"/>
                <w:szCs w:val="24"/>
              </w:rPr>
              <w:t xml:space="preserve"> </w:t>
            </w:r>
          </w:p>
          <w:p w14:paraId="03ECC60F">
            <w:pPr>
              <w:widowControl/>
              <w:jc w:val="left"/>
              <w:rPr>
                <w:sz w:val="24"/>
                <w:szCs w:val="24"/>
              </w:rPr>
            </w:pPr>
            <w:r>
              <w:rPr>
                <w:rFonts w:hint="eastAsia" w:ascii="仿宋_GB2312" w:hAnsi="仿宋_GB2312" w:eastAsia="仿宋_GB2312" w:cs="仿宋_GB2312"/>
                <w:color w:val="000000"/>
                <w:kern w:val="0"/>
                <w:sz w:val="24"/>
                <w:szCs w:val="24"/>
              </w:rPr>
              <w:t>叉检查、年度检查等检查方式。</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检查；到被检查单位查阅档案、人防工程现场实地检查，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形成检查意见和整改建议，并填写检查意见反馈表。</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督促；督促责任单位对所查隐患限期整改，并及时上报整</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改报告，逾期不整改的将进行通报。</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监管；接到整改报告后，对整改情况进行抽查，并将整改事项列入日常检查内容，杜绝类似问题重复发生。</w:t>
            </w:r>
          </w:p>
          <w:p w14:paraId="713590B7">
            <w:pPr>
              <w:rPr>
                <w:rFonts w:ascii="Arial"/>
              </w:rPr>
            </w:pPr>
          </w:p>
        </w:tc>
        <w:tc>
          <w:tcPr>
            <w:tcW w:w="1875" w:type="dxa"/>
          </w:tcPr>
          <w:p w14:paraId="54A698A1">
            <w:pPr>
              <w:rPr>
                <w:rFonts w:ascii="Arial"/>
              </w:rPr>
            </w:pPr>
          </w:p>
        </w:tc>
        <w:tc>
          <w:tcPr>
            <w:tcW w:w="1680" w:type="dxa"/>
          </w:tcPr>
          <w:p w14:paraId="06CB1C0A">
            <w:pPr>
              <w:rPr>
                <w:sz w:val="28"/>
                <w:szCs w:val="28"/>
              </w:rPr>
            </w:pPr>
          </w:p>
          <w:p w14:paraId="11E476F2">
            <w:pPr>
              <w:rPr>
                <w:sz w:val="28"/>
                <w:szCs w:val="28"/>
              </w:rPr>
            </w:pPr>
          </w:p>
          <w:p w14:paraId="047225D4">
            <w:pPr>
              <w:rPr>
                <w:sz w:val="28"/>
                <w:szCs w:val="28"/>
              </w:rPr>
            </w:pPr>
          </w:p>
          <w:p w14:paraId="0234C64C">
            <w:pPr>
              <w:rPr>
                <w:sz w:val="28"/>
                <w:szCs w:val="28"/>
              </w:rPr>
            </w:pPr>
          </w:p>
          <w:p w14:paraId="11BB090A">
            <w:pPr>
              <w:rPr>
                <w:sz w:val="28"/>
                <w:szCs w:val="28"/>
              </w:rPr>
            </w:pPr>
            <w:r>
              <w:rPr>
                <w:rFonts w:hint="eastAsia" w:cs="宋体"/>
                <w:sz w:val="28"/>
                <w:szCs w:val="28"/>
              </w:rPr>
              <w:t>人防中心</w:t>
            </w:r>
          </w:p>
          <w:p w14:paraId="12081A88">
            <w:pPr>
              <w:rPr>
                <w:rFonts w:ascii="Arial"/>
              </w:rPr>
            </w:pPr>
            <w:r>
              <w:rPr>
                <w:rFonts w:hint="eastAsia" w:cs="宋体"/>
                <w:sz w:val="28"/>
                <w:szCs w:val="28"/>
              </w:rPr>
              <w:t>工程股</w:t>
            </w:r>
          </w:p>
        </w:tc>
      </w:tr>
      <w:tr w14:paraId="4589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450" w:type="dxa"/>
            <w:gridSpan w:val="8"/>
          </w:tcPr>
          <w:p w14:paraId="5F6C3DAC">
            <w:pPr>
              <w:spacing w:line="248" w:lineRule="auto"/>
              <w:rPr>
                <w:rFonts w:ascii="Arial"/>
              </w:rPr>
            </w:pPr>
          </w:p>
          <w:p w14:paraId="0EC18D7C">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0377-6</w:t>
            </w:r>
            <w:r>
              <w:rPr>
                <w:rFonts w:hint="eastAsia" w:ascii="仿宋_GB2312" w:hAnsi="仿宋_GB2312" w:eastAsia="仿宋_GB2312" w:cs="仿宋_GB2312"/>
                <w:sz w:val="24"/>
                <w:szCs w:val="24"/>
                <w:shd w:val="clear" w:color="070000" w:fill="FFFFFF"/>
                <w:lang w:val="en-US" w:eastAsia="zh-CN"/>
              </w:rPr>
              <w:t>6688388</w:t>
            </w:r>
            <w:r>
              <w:rPr>
                <w:rFonts w:ascii="仿宋_GB2312" w:hAnsi="仿宋_GB2312" w:eastAsia="仿宋_GB2312" w:cs="仿宋_GB2312"/>
                <w:sz w:val="24"/>
                <w:szCs w:val="24"/>
                <w:shd w:val="clear" w:color="070000" w:fill="FFFFFF"/>
              </w:rPr>
              <w:t xml:space="preserve">   </w:t>
            </w:r>
          </w:p>
        </w:tc>
      </w:tr>
      <w:tr w14:paraId="068E3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5450" w:type="dxa"/>
            <w:gridSpan w:val="8"/>
          </w:tcPr>
          <w:p w14:paraId="7B50D1DB">
            <w:pPr>
              <w:spacing w:line="262" w:lineRule="auto"/>
              <w:rPr>
                <w:rFonts w:ascii="Arial"/>
              </w:rPr>
            </w:pPr>
          </w:p>
          <w:p w14:paraId="1DAB0450">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5F52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tcPr>
          <w:p w14:paraId="1732A706">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96" w:type="dxa"/>
          </w:tcPr>
          <w:p w14:paraId="08FE39EA">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285" w:type="dxa"/>
          </w:tcPr>
          <w:p w14:paraId="4475A942">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0" w:type="dxa"/>
          </w:tcPr>
          <w:p w14:paraId="12A88135">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14B304D2">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0" w:type="dxa"/>
          </w:tcPr>
          <w:p w14:paraId="5CB09AD2">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285" w:type="dxa"/>
          </w:tcPr>
          <w:p w14:paraId="1E44EDDB">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875" w:type="dxa"/>
          </w:tcPr>
          <w:p w14:paraId="07F1C34F">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80" w:type="dxa"/>
          </w:tcPr>
          <w:p w14:paraId="39EC953F">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0D2D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0" w:hRule="atLeast"/>
        </w:trPr>
        <w:tc>
          <w:tcPr>
            <w:tcW w:w="1029" w:type="dxa"/>
          </w:tcPr>
          <w:p w14:paraId="7F8959B3">
            <w:pPr>
              <w:spacing w:line="260" w:lineRule="auto"/>
              <w:rPr>
                <w:rFonts w:ascii="Arial"/>
              </w:rPr>
            </w:pPr>
          </w:p>
          <w:p w14:paraId="11961B62">
            <w:pPr>
              <w:spacing w:line="260" w:lineRule="auto"/>
              <w:rPr>
                <w:rFonts w:ascii="Arial"/>
              </w:rPr>
            </w:pPr>
          </w:p>
          <w:p w14:paraId="162B5510">
            <w:pPr>
              <w:spacing w:line="260" w:lineRule="auto"/>
              <w:rPr>
                <w:rFonts w:ascii="Arial"/>
              </w:rPr>
            </w:pPr>
          </w:p>
          <w:p w14:paraId="11B26701">
            <w:pPr>
              <w:spacing w:line="260" w:lineRule="auto"/>
              <w:rPr>
                <w:rFonts w:ascii="Arial"/>
              </w:rPr>
            </w:pPr>
          </w:p>
          <w:p w14:paraId="69505D87">
            <w:pPr>
              <w:spacing w:line="260" w:lineRule="auto"/>
              <w:rPr>
                <w:rFonts w:ascii="Arial"/>
              </w:rPr>
            </w:pPr>
          </w:p>
          <w:p w14:paraId="4E2385F2">
            <w:pPr>
              <w:spacing w:line="261" w:lineRule="auto"/>
              <w:rPr>
                <w:rFonts w:ascii="Arial"/>
              </w:rPr>
            </w:pPr>
          </w:p>
          <w:p w14:paraId="5A5F0AE4">
            <w:pPr>
              <w:spacing w:line="261" w:lineRule="auto"/>
              <w:rPr>
                <w:rFonts w:ascii="Arial"/>
              </w:rPr>
            </w:pPr>
          </w:p>
          <w:p w14:paraId="4A0DFF7D">
            <w:pPr>
              <w:spacing w:before="78" w:line="184" w:lineRule="auto"/>
              <w:ind w:left="504"/>
              <w:rPr>
                <w:rFonts w:hint="eastAsia" w:ascii="宋体" w:eastAsia="宋体"/>
                <w:sz w:val="24"/>
                <w:szCs w:val="24"/>
                <w:lang w:eastAsia="zh-CN"/>
              </w:rPr>
            </w:pPr>
            <w:r>
              <w:rPr>
                <w:rFonts w:ascii="宋体" w:hAnsi="宋体" w:cs="宋体"/>
                <w:sz w:val="24"/>
                <w:szCs w:val="24"/>
              </w:rPr>
              <w:t>1</w:t>
            </w:r>
            <w:r>
              <w:rPr>
                <w:rFonts w:hint="eastAsia" w:ascii="宋体" w:hAnsi="宋体" w:cs="宋体"/>
                <w:sz w:val="24"/>
                <w:szCs w:val="24"/>
                <w:lang w:val="en-US" w:eastAsia="zh-CN"/>
              </w:rPr>
              <w:t>3</w:t>
            </w:r>
          </w:p>
        </w:tc>
        <w:tc>
          <w:tcPr>
            <w:tcW w:w="1896" w:type="dxa"/>
          </w:tcPr>
          <w:p w14:paraId="431A6DEF">
            <w:pPr>
              <w:rPr>
                <w:rFonts w:ascii="仿宋_GB2312" w:hAnsi="宋体" w:eastAsia="仿宋_GB2312"/>
                <w:color w:val="000000"/>
                <w:kern w:val="0"/>
                <w:sz w:val="28"/>
                <w:szCs w:val="28"/>
              </w:rPr>
            </w:pPr>
          </w:p>
          <w:p w14:paraId="1D344DB3">
            <w:pPr>
              <w:rPr>
                <w:rFonts w:ascii="仿宋_GB2312" w:hAnsi="宋体" w:eastAsia="仿宋_GB2312"/>
                <w:color w:val="000000"/>
                <w:kern w:val="0"/>
                <w:sz w:val="28"/>
                <w:szCs w:val="28"/>
              </w:rPr>
            </w:pPr>
          </w:p>
          <w:p w14:paraId="6200F851">
            <w:pPr>
              <w:rPr>
                <w:rFonts w:ascii="Arial"/>
              </w:rPr>
            </w:pPr>
            <w:r>
              <w:rPr>
                <w:rFonts w:hint="eastAsia" w:ascii="仿宋_GB2312" w:hAnsi="宋体" w:eastAsia="仿宋_GB2312" w:cs="仿宋_GB2312"/>
                <w:color w:val="000000"/>
                <w:kern w:val="0"/>
                <w:sz w:val="28"/>
                <w:szCs w:val="28"/>
              </w:rPr>
              <w:t>人民防空工程平时开发利用</w:t>
            </w:r>
          </w:p>
        </w:tc>
        <w:tc>
          <w:tcPr>
            <w:tcW w:w="3285" w:type="dxa"/>
          </w:tcPr>
          <w:p w14:paraId="637C539A">
            <w:pPr>
              <w:rPr>
                <w:rFonts w:ascii="Arial"/>
              </w:rPr>
            </w:pPr>
            <w:r>
              <w:rPr>
                <w:rFonts w:ascii="仿宋" w:hAnsi="仿宋" w:eastAsia="仿宋" w:cs="仿宋"/>
                <w:color w:val="000000"/>
                <w:kern w:val="0"/>
              </w:rPr>
              <w:t>1</w:t>
            </w:r>
            <w:r>
              <w:rPr>
                <w:rFonts w:hint="eastAsia" w:ascii="仿宋" w:hAnsi="仿宋" w:eastAsia="仿宋" w:cs="仿宋"/>
                <w:color w:val="000000"/>
                <w:kern w:val="0"/>
              </w:rPr>
              <w:t>、《中华人民共和国人民防空法》</w:t>
            </w:r>
            <w:r>
              <w:rPr>
                <w:rFonts w:ascii="仿宋" w:hAnsi="仿宋" w:eastAsia="仿宋" w:cs="仿宋"/>
                <w:color w:val="000000"/>
                <w:kern w:val="0"/>
              </w:rPr>
              <w:t xml:space="preserve"> </w:t>
            </w:r>
            <w:r>
              <w:rPr>
                <w:rFonts w:hint="eastAsia" w:ascii="仿宋" w:hAnsi="仿宋" w:eastAsia="仿宋" w:cs="仿宋"/>
                <w:color w:val="000000"/>
                <w:kern w:val="0"/>
              </w:rPr>
              <w:t>第二十六条：国家鼓励平时利用人民防空工程为经济建设和人民生活服务。平时利用人民防空工程，不得影响其防空效能。</w:t>
            </w:r>
            <w:r>
              <w:rPr>
                <w:rFonts w:ascii="仿宋" w:hAnsi="仿宋" w:eastAsia="仿宋" w:cs="仿宋"/>
                <w:color w:val="000000"/>
                <w:kern w:val="0"/>
              </w:rPr>
              <w:t>2</w:t>
            </w:r>
            <w:r>
              <w:rPr>
                <w:rFonts w:hint="eastAsia" w:ascii="仿宋" w:hAnsi="仿宋" w:eastAsia="仿宋" w:cs="仿宋"/>
                <w:color w:val="000000"/>
                <w:kern w:val="0"/>
              </w:rPr>
              <w:t>、《人民防空工平时开发利用管理办法》（〔</w:t>
            </w:r>
            <w:r>
              <w:rPr>
                <w:rFonts w:ascii="仿宋" w:hAnsi="仿宋" w:eastAsia="仿宋" w:cs="仿宋"/>
                <w:color w:val="000000"/>
                <w:kern w:val="0"/>
              </w:rPr>
              <w:t>2001</w:t>
            </w:r>
            <w:r>
              <w:rPr>
                <w:rFonts w:hint="eastAsia" w:ascii="仿宋" w:hAnsi="仿宋" w:eastAsia="仿宋" w:cs="仿宋"/>
                <w:color w:val="000000"/>
                <w:kern w:val="0"/>
              </w:rPr>
              <w:t>〕国人防办字第</w:t>
            </w:r>
            <w:r>
              <w:rPr>
                <w:rFonts w:ascii="仿宋" w:hAnsi="仿宋" w:eastAsia="仿宋" w:cs="仿宋"/>
                <w:color w:val="000000"/>
                <w:kern w:val="0"/>
              </w:rPr>
              <w:t>211</w:t>
            </w:r>
            <w:r>
              <w:rPr>
                <w:rFonts w:hint="eastAsia" w:ascii="仿宋" w:hAnsi="仿宋" w:eastAsia="仿宋" w:cs="仿宋"/>
                <w:color w:val="000000"/>
                <w:kern w:val="0"/>
              </w:rPr>
              <w:t>号）第八条、第九条、</w:t>
            </w:r>
            <w:r>
              <w:rPr>
                <w:rFonts w:ascii="仿宋" w:hAnsi="仿宋" w:eastAsia="仿宋" w:cs="仿宋"/>
                <w:color w:val="000000"/>
                <w:kern w:val="0"/>
              </w:rPr>
              <w:t xml:space="preserve"> </w:t>
            </w:r>
            <w:r>
              <w:rPr>
                <w:rFonts w:hint="eastAsia" w:ascii="仿宋" w:hAnsi="仿宋" w:eastAsia="仿宋" w:cs="仿宋"/>
                <w:color w:val="000000"/>
                <w:kern w:val="0"/>
              </w:rPr>
              <w:t>第十条、第十二条：人民防空工程平时开发利用实行备案登记制度。使用单位在与工程隶属单位签订《人民防空工程租赁使用合同》后</w:t>
            </w:r>
            <w:r>
              <w:rPr>
                <w:rFonts w:ascii="仿宋" w:hAnsi="仿宋" w:eastAsia="仿宋" w:cs="仿宋"/>
                <w:color w:val="000000"/>
                <w:kern w:val="0"/>
              </w:rPr>
              <w:t>5</w:t>
            </w:r>
            <w:r>
              <w:rPr>
                <w:rFonts w:hint="eastAsia" w:ascii="仿宋" w:hAnsi="仿宋" w:eastAsia="仿宋" w:cs="仿宋"/>
                <w:color w:val="000000"/>
                <w:kern w:val="0"/>
              </w:rPr>
              <w:t>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人民防空主管部门应当根据使用单位提交的备案材料，经审查合格后发给人民防空工程平时使用证。使用单位必须持有《人民防空工程平时使用证》，方可使用人民防空工程。《人民防空工程平时使用证》实行审验制度。人民防空主管部门应当定期对《人民防空工程平时使用证》进行审验，并按规定收取审验费。禁止无证使用人民防空工程或者转让《人民防空工程平时使用证》。使用单位在合同期内不得擅自转租人民防空工程或者转让人民防空工程使用权，因故确需转租或者转让的，必须报经原批准使用的人民防空主管部门批准，换发《人民防空工程平时使用证》后方可继续使用。</w:t>
            </w:r>
            <w:r>
              <w:rPr>
                <w:rFonts w:ascii="仿宋" w:hAnsi="仿宋" w:eastAsia="仿宋" w:cs="仿宋"/>
                <w:color w:val="000000"/>
                <w:kern w:val="0"/>
              </w:rPr>
              <w:t>3</w:t>
            </w:r>
            <w:r>
              <w:rPr>
                <w:rFonts w:hint="eastAsia" w:ascii="仿宋" w:hAnsi="仿宋" w:eastAsia="仿宋" w:cs="仿宋"/>
                <w:color w:val="000000"/>
                <w:kern w:val="0"/>
              </w:rPr>
              <w:t>、《河南省实施〈中华人民共和国人民防空法〉办法》第十五条：对人民防工程应当进行经常性维护管理，使其保持良好使用状态，不得损坏工程结构和内部设备设施，不得降低工程的防护能力。公用的人民防空工程由人民防空主管部门负责维护管理，单位修建的人民防空工程由所在单位负责维护管理，平时使用的人民防空工程由使用单位负责维护管理。</w:t>
            </w:r>
          </w:p>
        </w:tc>
        <w:tc>
          <w:tcPr>
            <w:tcW w:w="930" w:type="dxa"/>
          </w:tcPr>
          <w:p w14:paraId="07C12390">
            <w:pPr>
              <w:rPr>
                <w:rFonts w:ascii="仿宋" w:hAnsi="仿宋" w:eastAsia="仿宋"/>
                <w:color w:val="000000"/>
                <w:kern w:val="0"/>
                <w:sz w:val="30"/>
                <w:szCs w:val="30"/>
              </w:rPr>
            </w:pPr>
          </w:p>
          <w:p w14:paraId="51C27E70">
            <w:pPr>
              <w:rPr>
                <w:rFonts w:ascii="Arial"/>
              </w:rPr>
            </w:pPr>
            <w:r>
              <w:rPr>
                <w:rFonts w:hint="eastAsia" w:ascii="Arial" w:cs="宋体"/>
              </w:rPr>
              <w:t>其他职权</w:t>
            </w:r>
          </w:p>
        </w:tc>
        <w:tc>
          <w:tcPr>
            <w:tcW w:w="1470" w:type="dxa"/>
          </w:tcPr>
          <w:p w14:paraId="4B106490">
            <w:pPr>
              <w:rPr>
                <w:rFonts w:ascii="Arial"/>
              </w:rPr>
            </w:pPr>
            <w:r>
              <w:rPr>
                <w:rFonts w:ascii="宋体" w:hAnsi="宋体" w:cs="宋体"/>
                <w:sz w:val="28"/>
                <w:szCs w:val="28"/>
              </w:rPr>
              <w:t>1.</w:t>
            </w:r>
            <w:r>
              <w:rPr>
                <w:rFonts w:hint="eastAsia" w:ascii="宋体" w:hAnsi="宋体" w:cs="宋体"/>
                <w:sz w:val="28"/>
                <w:szCs w:val="28"/>
              </w:rPr>
              <w:t>受理</w:t>
            </w:r>
            <w:r>
              <w:rPr>
                <w:rFonts w:ascii="宋体" w:hAnsi="宋体" w:cs="宋体"/>
                <w:sz w:val="28"/>
                <w:szCs w:val="28"/>
              </w:rPr>
              <w:t>,2.</w:t>
            </w:r>
            <w:r>
              <w:rPr>
                <w:rFonts w:hint="eastAsia" w:ascii="宋体" w:hAnsi="宋体" w:cs="宋体"/>
                <w:sz w:val="28"/>
                <w:szCs w:val="28"/>
              </w:rPr>
              <w:t>审核，</w:t>
            </w:r>
            <w:r>
              <w:rPr>
                <w:rFonts w:ascii="宋体" w:hAnsi="宋体" w:cs="宋体"/>
                <w:sz w:val="28"/>
                <w:szCs w:val="28"/>
              </w:rPr>
              <w:t>3.</w:t>
            </w:r>
            <w:r>
              <w:rPr>
                <w:rFonts w:hint="eastAsia" w:ascii="宋体" w:hAnsi="宋体" w:cs="宋体"/>
                <w:sz w:val="28"/>
                <w:szCs w:val="28"/>
              </w:rPr>
              <w:t>决定，</w:t>
            </w:r>
            <w:r>
              <w:rPr>
                <w:rFonts w:ascii="宋体" w:hAnsi="宋体" w:cs="宋体"/>
                <w:sz w:val="28"/>
                <w:szCs w:val="28"/>
              </w:rPr>
              <w:t>4.</w:t>
            </w:r>
            <w:r>
              <w:rPr>
                <w:rFonts w:hint="eastAsia" w:ascii="宋体" w:hAnsi="宋体" w:cs="宋体"/>
                <w:sz w:val="28"/>
                <w:szCs w:val="28"/>
              </w:rPr>
              <w:t>送达，</w:t>
            </w:r>
            <w:r>
              <w:rPr>
                <w:rFonts w:ascii="宋体" w:hAnsi="宋体" w:cs="宋体"/>
                <w:sz w:val="28"/>
                <w:szCs w:val="28"/>
              </w:rPr>
              <w:t>5.</w:t>
            </w:r>
            <w:r>
              <w:rPr>
                <w:rFonts w:hint="eastAsia" w:ascii="宋体" w:hAnsi="宋体" w:cs="宋体"/>
                <w:sz w:val="28"/>
                <w:szCs w:val="28"/>
              </w:rPr>
              <w:t>事后监管</w:t>
            </w:r>
          </w:p>
        </w:tc>
        <w:tc>
          <w:tcPr>
            <w:tcW w:w="3285" w:type="dxa"/>
          </w:tcPr>
          <w:p w14:paraId="06F146FC">
            <w:pPr>
              <w:widowControl/>
              <w:jc w:val="left"/>
              <w:rPr>
                <w:sz w:val="24"/>
                <w:szCs w:val="24"/>
              </w:rPr>
            </w:pPr>
            <w:r>
              <w:rPr>
                <w:sz w:val="24"/>
                <w:szCs w:val="24"/>
              </w:rPr>
              <w:t>1.</w:t>
            </w:r>
            <w:r>
              <w:rPr>
                <w:rFonts w:hint="eastAsia" w:cs="宋体"/>
                <w:sz w:val="24"/>
                <w:szCs w:val="24"/>
              </w:rPr>
              <w:t>受理；</w:t>
            </w:r>
            <w:r>
              <w:rPr>
                <w:rFonts w:hint="eastAsia" w:ascii="仿宋_GB2312" w:hAnsi="仿宋_GB2312" w:eastAsia="仿宋_GB2312" w:cs="仿宋_GB2312"/>
                <w:color w:val="000000"/>
                <w:kern w:val="0"/>
                <w:sz w:val="24"/>
                <w:szCs w:val="24"/>
              </w:rPr>
              <w:t>工作人员通过窗口或河南政务服务网接收申报材</w:t>
            </w:r>
            <w:r>
              <w:rPr>
                <w:rFonts w:ascii="仿宋_GB2312" w:hAnsi="仿宋_GB2312" w:eastAsia="仿宋_GB2312" w:cs="仿宋_GB2312"/>
                <w:color w:val="000000"/>
                <w:kern w:val="0"/>
                <w:sz w:val="24"/>
                <w:szCs w:val="24"/>
              </w:rPr>
              <w:t xml:space="preserve"> </w:t>
            </w:r>
          </w:p>
          <w:p w14:paraId="6A6D4CA7">
            <w:pPr>
              <w:widowControl/>
              <w:jc w:val="left"/>
              <w:rPr>
                <w:sz w:val="24"/>
                <w:szCs w:val="24"/>
              </w:rPr>
            </w:pPr>
            <w:r>
              <w:rPr>
                <w:rFonts w:hint="eastAsia" w:ascii="仿宋_GB2312" w:hAnsi="仿宋_GB2312" w:eastAsia="仿宋_GB2312" w:cs="仿宋_GB2312"/>
                <w:color w:val="000000"/>
                <w:kern w:val="0"/>
                <w:sz w:val="24"/>
                <w:szCs w:val="24"/>
              </w:rPr>
              <w:t>料，所交材料不齐全或不符合法定要求的，签发《一</w:t>
            </w:r>
            <w:r>
              <w:rPr>
                <w:rFonts w:ascii="仿宋_GB2312" w:hAnsi="仿宋_GB2312" w:eastAsia="仿宋_GB2312" w:cs="仿宋_GB2312"/>
                <w:color w:val="000000"/>
                <w:kern w:val="0"/>
                <w:sz w:val="24"/>
                <w:szCs w:val="24"/>
              </w:rPr>
              <w:t xml:space="preserve"> </w:t>
            </w:r>
          </w:p>
          <w:p w14:paraId="252A3BDE">
            <w:pPr>
              <w:widowControl/>
              <w:jc w:val="left"/>
              <w:rPr>
                <w:sz w:val="24"/>
                <w:szCs w:val="24"/>
              </w:rPr>
            </w:pPr>
            <w:r>
              <w:rPr>
                <w:rFonts w:hint="eastAsia" w:ascii="仿宋_GB2312" w:hAnsi="仿宋_GB2312" w:eastAsia="仿宋_GB2312" w:cs="仿宋_GB2312"/>
                <w:color w:val="000000"/>
                <w:kern w:val="0"/>
                <w:sz w:val="24"/>
                <w:szCs w:val="24"/>
              </w:rPr>
              <w:t>次性告知书》。如所交材料存在可以当场更正的错</w:t>
            </w:r>
            <w:r>
              <w:rPr>
                <w:rFonts w:ascii="仿宋_GB2312" w:hAnsi="仿宋_GB2312" w:eastAsia="仿宋_GB2312" w:cs="仿宋_GB2312"/>
                <w:color w:val="000000"/>
                <w:kern w:val="0"/>
                <w:sz w:val="24"/>
                <w:szCs w:val="24"/>
              </w:rPr>
              <w:t xml:space="preserve"> </w:t>
            </w:r>
          </w:p>
          <w:p w14:paraId="0F2623E5">
            <w:pPr>
              <w:widowControl/>
              <w:jc w:val="left"/>
              <w:rPr>
                <w:sz w:val="24"/>
                <w:szCs w:val="24"/>
              </w:rPr>
            </w:pPr>
            <w:r>
              <w:rPr>
                <w:rFonts w:hint="eastAsia" w:ascii="仿宋_GB2312" w:hAnsi="仿宋_GB2312" w:eastAsia="仿宋_GB2312" w:cs="仿宋_GB2312"/>
                <w:color w:val="000000"/>
                <w:kern w:val="0"/>
                <w:sz w:val="24"/>
                <w:szCs w:val="24"/>
              </w:rPr>
              <w:t>误，申请人可当场更正。如所交材料齐全，应当场</w:t>
            </w:r>
            <w:r>
              <w:rPr>
                <w:rFonts w:ascii="仿宋_GB2312" w:hAnsi="仿宋_GB2312" w:eastAsia="仿宋_GB2312" w:cs="仿宋_GB2312"/>
                <w:color w:val="000000"/>
                <w:kern w:val="0"/>
                <w:sz w:val="24"/>
                <w:szCs w:val="24"/>
              </w:rPr>
              <w:t xml:space="preserve"> </w:t>
            </w:r>
          </w:p>
          <w:p w14:paraId="4A62E12A">
            <w:pPr>
              <w:widowControl/>
              <w:jc w:val="left"/>
              <w:rPr>
                <w:sz w:val="24"/>
                <w:szCs w:val="24"/>
              </w:rPr>
            </w:pPr>
            <w:r>
              <w:rPr>
                <w:rFonts w:hint="eastAsia" w:ascii="仿宋_GB2312" w:hAnsi="仿宋_GB2312" w:eastAsia="仿宋_GB2312" w:cs="仿宋_GB2312"/>
                <w:color w:val="000000"/>
                <w:kern w:val="0"/>
                <w:sz w:val="24"/>
                <w:szCs w:val="24"/>
              </w:rPr>
              <w:t>作出是否受理决定，并签发《受理通知书》或《不</w:t>
            </w:r>
            <w:r>
              <w:rPr>
                <w:rFonts w:ascii="仿宋_GB2312" w:hAnsi="仿宋_GB2312" w:eastAsia="仿宋_GB2312" w:cs="仿宋_GB2312"/>
                <w:color w:val="000000"/>
                <w:kern w:val="0"/>
                <w:sz w:val="24"/>
                <w:szCs w:val="24"/>
              </w:rPr>
              <w:t xml:space="preserve"> </w:t>
            </w:r>
          </w:p>
          <w:p w14:paraId="68E49650">
            <w:pPr>
              <w:widowControl/>
              <w:jc w:val="left"/>
              <w:rPr>
                <w:sz w:val="24"/>
                <w:szCs w:val="24"/>
              </w:rPr>
            </w:pPr>
            <w:r>
              <w:rPr>
                <w:rFonts w:hint="eastAsia" w:ascii="仿宋_GB2312" w:hAnsi="仿宋_GB2312" w:eastAsia="仿宋_GB2312" w:cs="仿宋_GB2312"/>
                <w:color w:val="000000"/>
                <w:kern w:val="0"/>
                <w:sz w:val="24"/>
                <w:szCs w:val="24"/>
              </w:rPr>
              <w:t>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审核；在受理申报材料后，由办理科室对内容进行审查。如有必要，启动特殊环节进行辅助审查。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决定；作出是否同意申请事项的决定。作出准予审批（办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理）决定的，签发审批办理结果；作出不予审批（办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理）决定的，签发《不予审批（办理）告知单》。</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送达；实施机关作出决定当日应通知申请人，及时向申请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人颁发、送达审批服务事项办理结果。</w:t>
            </w: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事后监督；对人防工程平时开发利用情况进行检查。其他法律法规规章文件规定应履行的责任。</w:t>
            </w:r>
          </w:p>
          <w:p w14:paraId="020E294D">
            <w:pPr>
              <w:rPr>
                <w:rFonts w:ascii="Arial"/>
              </w:rPr>
            </w:pPr>
          </w:p>
        </w:tc>
        <w:tc>
          <w:tcPr>
            <w:tcW w:w="1875" w:type="dxa"/>
          </w:tcPr>
          <w:p w14:paraId="5E4FCD90">
            <w:pPr>
              <w:rPr>
                <w:rFonts w:ascii="Arial"/>
              </w:rPr>
            </w:pPr>
          </w:p>
        </w:tc>
        <w:tc>
          <w:tcPr>
            <w:tcW w:w="1680" w:type="dxa"/>
          </w:tcPr>
          <w:p w14:paraId="57D6C6F6">
            <w:pPr>
              <w:rPr>
                <w:sz w:val="28"/>
                <w:szCs w:val="28"/>
              </w:rPr>
            </w:pPr>
          </w:p>
          <w:p w14:paraId="4744C065">
            <w:pPr>
              <w:rPr>
                <w:sz w:val="28"/>
                <w:szCs w:val="28"/>
              </w:rPr>
            </w:pPr>
          </w:p>
          <w:p w14:paraId="5E971E28">
            <w:pPr>
              <w:rPr>
                <w:sz w:val="28"/>
                <w:szCs w:val="28"/>
              </w:rPr>
            </w:pPr>
          </w:p>
          <w:p w14:paraId="04F8578C">
            <w:pPr>
              <w:rPr>
                <w:sz w:val="28"/>
                <w:szCs w:val="28"/>
              </w:rPr>
            </w:pPr>
          </w:p>
          <w:p w14:paraId="1E3E2670">
            <w:pPr>
              <w:rPr>
                <w:sz w:val="28"/>
                <w:szCs w:val="28"/>
              </w:rPr>
            </w:pPr>
          </w:p>
          <w:p w14:paraId="414EC570">
            <w:pPr>
              <w:rPr>
                <w:sz w:val="28"/>
                <w:szCs w:val="28"/>
              </w:rPr>
            </w:pPr>
          </w:p>
          <w:p w14:paraId="5F19540F">
            <w:pPr>
              <w:rPr>
                <w:sz w:val="28"/>
                <w:szCs w:val="28"/>
              </w:rPr>
            </w:pPr>
            <w:r>
              <w:rPr>
                <w:rFonts w:hint="eastAsia" w:cs="宋体"/>
                <w:sz w:val="28"/>
                <w:szCs w:val="28"/>
              </w:rPr>
              <w:t>人防中心</w:t>
            </w:r>
          </w:p>
          <w:p w14:paraId="39FB9F3B">
            <w:pPr>
              <w:rPr>
                <w:rFonts w:ascii="Arial"/>
              </w:rPr>
            </w:pPr>
            <w:r>
              <w:rPr>
                <w:rFonts w:hint="eastAsia" w:cs="宋体"/>
                <w:sz w:val="28"/>
                <w:szCs w:val="28"/>
              </w:rPr>
              <w:t>工程股</w:t>
            </w:r>
          </w:p>
        </w:tc>
      </w:tr>
      <w:tr w14:paraId="2469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450" w:type="dxa"/>
            <w:gridSpan w:val="8"/>
          </w:tcPr>
          <w:p w14:paraId="782BAE00">
            <w:pPr>
              <w:spacing w:line="248" w:lineRule="auto"/>
              <w:rPr>
                <w:rFonts w:ascii="Arial"/>
              </w:rPr>
            </w:pPr>
          </w:p>
          <w:p w14:paraId="5227B9A7">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0377-6</w:t>
            </w:r>
            <w:r>
              <w:rPr>
                <w:rFonts w:hint="eastAsia" w:ascii="仿宋_GB2312" w:hAnsi="仿宋_GB2312" w:eastAsia="仿宋_GB2312" w:cs="仿宋_GB2312"/>
                <w:sz w:val="24"/>
                <w:szCs w:val="24"/>
                <w:shd w:val="clear" w:color="070000" w:fill="FFFFFF"/>
                <w:lang w:val="en-US" w:eastAsia="zh-CN"/>
              </w:rPr>
              <w:t>6688388</w:t>
            </w:r>
            <w:r>
              <w:rPr>
                <w:rFonts w:ascii="仿宋_GB2312" w:hAnsi="仿宋_GB2312" w:eastAsia="仿宋_GB2312" w:cs="仿宋_GB2312"/>
                <w:sz w:val="24"/>
                <w:szCs w:val="24"/>
                <w:shd w:val="clear" w:color="070000" w:fill="FFFFFF"/>
              </w:rPr>
              <w:t xml:space="preserve">  </w:t>
            </w:r>
          </w:p>
        </w:tc>
      </w:tr>
      <w:tr w14:paraId="40CC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450" w:type="dxa"/>
            <w:gridSpan w:val="8"/>
          </w:tcPr>
          <w:p w14:paraId="515F7794">
            <w:pPr>
              <w:spacing w:line="262" w:lineRule="auto"/>
              <w:rPr>
                <w:rFonts w:ascii="Arial"/>
              </w:rPr>
            </w:pPr>
          </w:p>
          <w:p w14:paraId="0B897388">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0E6F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tcPr>
          <w:p w14:paraId="05432D30">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96" w:type="dxa"/>
          </w:tcPr>
          <w:p w14:paraId="24A78CCE">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285" w:type="dxa"/>
          </w:tcPr>
          <w:p w14:paraId="5FDDC3AD">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0" w:type="dxa"/>
          </w:tcPr>
          <w:p w14:paraId="274EFEF9">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01097F55">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0" w:type="dxa"/>
          </w:tcPr>
          <w:p w14:paraId="73BFC56E">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285" w:type="dxa"/>
          </w:tcPr>
          <w:p w14:paraId="40F78C42">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875" w:type="dxa"/>
            <w:tcBorders>
              <w:bottom w:val="single" w:color="auto" w:sz="4" w:space="0"/>
              <w:right w:val="nil"/>
            </w:tcBorders>
          </w:tcPr>
          <w:p w14:paraId="1F16245C">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80" w:type="dxa"/>
            <w:tcBorders>
              <w:top w:val="nil"/>
              <w:left w:val="nil"/>
              <w:bottom w:val="single" w:color="auto" w:sz="4" w:space="0"/>
              <w:right w:val="nil"/>
            </w:tcBorders>
          </w:tcPr>
          <w:p w14:paraId="138E82AE">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360A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1029" w:type="dxa"/>
          </w:tcPr>
          <w:p w14:paraId="1A4C8FDA">
            <w:pPr>
              <w:spacing w:line="260" w:lineRule="auto"/>
              <w:rPr>
                <w:rFonts w:ascii="Arial"/>
              </w:rPr>
            </w:pPr>
          </w:p>
          <w:p w14:paraId="714E427F">
            <w:pPr>
              <w:spacing w:line="260" w:lineRule="auto"/>
              <w:rPr>
                <w:rFonts w:ascii="Arial"/>
              </w:rPr>
            </w:pPr>
          </w:p>
          <w:p w14:paraId="70FE01C4">
            <w:pPr>
              <w:spacing w:line="260" w:lineRule="auto"/>
              <w:rPr>
                <w:rFonts w:ascii="Arial"/>
              </w:rPr>
            </w:pPr>
          </w:p>
          <w:p w14:paraId="01C6FEA0">
            <w:pPr>
              <w:spacing w:line="260" w:lineRule="auto"/>
              <w:rPr>
                <w:rFonts w:ascii="Arial"/>
              </w:rPr>
            </w:pPr>
          </w:p>
          <w:p w14:paraId="4E2D7230">
            <w:pPr>
              <w:spacing w:line="260" w:lineRule="auto"/>
              <w:rPr>
                <w:rFonts w:ascii="Arial"/>
              </w:rPr>
            </w:pPr>
          </w:p>
          <w:p w14:paraId="3ABC4F21">
            <w:pPr>
              <w:spacing w:line="261" w:lineRule="auto"/>
              <w:rPr>
                <w:rFonts w:ascii="Arial"/>
              </w:rPr>
            </w:pPr>
          </w:p>
          <w:p w14:paraId="144DF13D">
            <w:pPr>
              <w:spacing w:line="261" w:lineRule="auto"/>
              <w:rPr>
                <w:rFonts w:ascii="Arial"/>
              </w:rPr>
            </w:pPr>
          </w:p>
          <w:p w14:paraId="1504364F">
            <w:pPr>
              <w:spacing w:before="78" w:line="184" w:lineRule="auto"/>
              <w:ind w:left="504"/>
              <w:rPr>
                <w:rFonts w:hint="default" w:ascii="宋体" w:eastAsia="宋体"/>
                <w:sz w:val="24"/>
                <w:szCs w:val="24"/>
                <w:lang w:val="en-US" w:eastAsia="zh-CN"/>
              </w:rPr>
            </w:pPr>
            <w:r>
              <w:rPr>
                <w:rFonts w:hint="eastAsia" w:ascii="宋体" w:hAnsi="宋体" w:cs="宋体"/>
                <w:sz w:val="24"/>
                <w:szCs w:val="24"/>
                <w:lang w:val="en-US" w:eastAsia="zh-CN"/>
              </w:rPr>
              <w:t>14</w:t>
            </w:r>
          </w:p>
        </w:tc>
        <w:tc>
          <w:tcPr>
            <w:tcW w:w="1896" w:type="dxa"/>
          </w:tcPr>
          <w:p w14:paraId="1D868B18">
            <w:pPr>
              <w:rPr>
                <w:rFonts w:ascii="Arial"/>
              </w:rPr>
            </w:pPr>
            <w:r>
              <w:rPr>
                <w:rFonts w:hint="eastAsia" w:ascii="仿宋_GB2312" w:hAnsi="宋体" w:eastAsia="仿宋_GB2312" w:cs="仿宋_GB2312"/>
                <w:color w:val="000000"/>
                <w:kern w:val="0"/>
                <w:sz w:val="28"/>
                <w:szCs w:val="28"/>
              </w:rPr>
              <w:t>人民防空工程、兼顾人民防空需要的地下工程竣工验收备案（联合验收、统一备案</w:t>
            </w:r>
            <w:r>
              <w:rPr>
                <w:rFonts w:hint="eastAsia" w:ascii="仿宋_GB2312" w:hAnsi="宋体" w:eastAsia="仿宋_GB2312" w:cs="仿宋_GB2312"/>
                <w:color w:val="000000"/>
                <w:kern w:val="0"/>
                <w:sz w:val="20"/>
                <w:szCs w:val="20"/>
              </w:rPr>
              <w:t>）</w:t>
            </w:r>
          </w:p>
        </w:tc>
        <w:tc>
          <w:tcPr>
            <w:tcW w:w="3285" w:type="dxa"/>
          </w:tcPr>
          <w:p w14:paraId="53853870">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、《建设工程质量管理条例》（国务院</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日国务院第</w:t>
            </w:r>
            <w:r>
              <w:rPr>
                <w:rFonts w:ascii="仿宋" w:hAnsi="仿宋" w:eastAsia="仿宋" w:cs="仿宋"/>
                <w:color w:val="000000"/>
                <w:kern w:val="0"/>
                <w:sz w:val="22"/>
                <w:szCs w:val="22"/>
              </w:rPr>
              <w:t>25</w:t>
            </w:r>
            <w:r>
              <w:rPr>
                <w:rFonts w:hint="eastAsia" w:ascii="仿宋" w:hAnsi="仿宋" w:eastAsia="仿宋" w:cs="仿宋"/>
                <w:color w:val="000000"/>
                <w:kern w:val="0"/>
                <w:sz w:val="22"/>
                <w:szCs w:val="22"/>
              </w:rPr>
              <w:t>次常务会议通过，</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30</w:t>
            </w:r>
            <w:r>
              <w:rPr>
                <w:rFonts w:hint="eastAsia" w:ascii="仿宋" w:hAnsi="仿宋" w:eastAsia="仿宋" w:cs="仿宋"/>
                <w:color w:val="000000"/>
                <w:kern w:val="0"/>
                <w:sz w:val="22"/>
                <w:szCs w:val="22"/>
              </w:rPr>
              <w:t>日国务院令第</w:t>
            </w:r>
            <w:r>
              <w:rPr>
                <w:rFonts w:ascii="仿宋" w:hAnsi="仿宋" w:eastAsia="仿宋" w:cs="仿宋"/>
                <w:color w:val="000000"/>
                <w:kern w:val="0"/>
                <w:sz w:val="22"/>
                <w:szCs w:val="22"/>
              </w:rPr>
              <w:t>279</w:t>
            </w:r>
            <w:r>
              <w:rPr>
                <w:rFonts w:hint="eastAsia" w:ascii="仿宋" w:hAnsi="仿宋" w:eastAsia="仿宋" w:cs="仿宋"/>
                <w:color w:val="000000"/>
                <w:kern w:val="0"/>
                <w:sz w:val="22"/>
                <w:szCs w:val="22"/>
              </w:rPr>
              <w:t>号发布实施，根据</w:t>
            </w:r>
            <w:r>
              <w:rPr>
                <w:rFonts w:ascii="仿宋" w:hAnsi="仿宋" w:eastAsia="仿宋" w:cs="仿宋"/>
                <w:color w:val="000000"/>
                <w:kern w:val="0"/>
                <w:sz w:val="22"/>
                <w:szCs w:val="22"/>
              </w:rPr>
              <w:t>2017</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日《国务院关于修改部分行政法规的决定》（中华人民共和国国务院令第687号）第一次修订，根据</w:t>
            </w:r>
            <w:r>
              <w:rPr>
                <w:rFonts w:ascii="仿宋" w:hAnsi="仿宋" w:eastAsia="仿宋" w:cs="仿宋"/>
                <w:color w:val="000000"/>
                <w:kern w:val="0"/>
                <w:sz w:val="22"/>
                <w:szCs w:val="22"/>
              </w:rPr>
              <w:t>2019</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23</w:t>
            </w:r>
            <w:r>
              <w:rPr>
                <w:rFonts w:hint="eastAsia" w:ascii="仿宋" w:hAnsi="仿宋" w:eastAsia="仿宋" w:cs="仿宋"/>
                <w:color w:val="000000"/>
                <w:kern w:val="0"/>
                <w:sz w:val="22"/>
                <w:szCs w:val="22"/>
              </w:rPr>
              <w:t>日《国务院关于修改部分行政法规的决定》第二次修订）第四十九条：建设单位应当自建设工程竣工验收合格之日起</w:t>
            </w:r>
            <w:r>
              <w:rPr>
                <w:rFonts w:ascii="仿宋" w:hAnsi="仿宋" w:eastAsia="仿宋" w:cs="仿宋"/>
                <w:color w:val="000000"/>
                <w:kern w:val="0"/>
                <w:sz w:val="22"/>
                <w:szCs w:val="22"/>
              </w:rPr>
              <w:t>15</w:t>
            </w:r>
            <w:r>
              <w:rPr>
                <w:rFonts w:hint="eastAsia" w:ascii="仿宋" w:hAnsi="仿宋" w:eastAsia="仿宋" w:cs="仿宋"/>
                <w:color w:val="000000"/>
                <w:kern w:val="0"/>
                <w:sz w:val="22"/>
                <w:szCs w:val="22"/>
              </w:rPr>
              <w:t>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r>
              <w:rPr>
                <w:rFonts w:ascii="仿宋" w:hAnsi="仿宋" w:eastAsia="仿宋" w:cs="仿宋"/>
                <w:color w:val="000000"/>
                <w:kern w:val="0"/>
                <w:sz w:val="22"/>
                <w:szCs w:val="22"/>
              </w:rPr>
              <w:t xml:space="preserve">  2</w:t>
            </w:r>
            <w:r>
              <w:rPr>
                <w:rFonts w:hint="eastAsia" w:ascii="仿宋" w:hAnsi="仿宋" w:eastAsia="仿宋" w:cs="仿宋"/>
                <w:color w:val="000000"/>
                <w:kern w:val="0"/>
                <w:sz w:val="22"/>
                <w:szCs w:val="22"/>
              </w:rPr>
              <w:t>、《人民防空工程建设管理规定》（国家国防动员委员会、国家发展计划委员会、建设部、财政部</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2003</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18</w:t>
            </w:r>
            <w:r>
              <w:rPr>
                <w:rFonts w:hint="eastAsia" w:ascii="仿宋" w:hAnsi="仿宋" w:eastAsia="仿宋" w:cs="仿宋"/>
                <w:color w:val="000000"/>
                <w:kern w:val="0"/>
                <w:sz w:val="22"/>
                <w:szCs w:val="22"/>
              </w:rPr>
              <w:t>号）第三十八条、第五十七条：人民防空工程竣工验收实行备案制度。人民防空工程建设单位应当自工程竣工验收合格之日起</w:t>
            </w:r>
            <w:r>
              <w:rPr>
                <w:rFonts w:ascii="仿宋" w:hAnsi="仿宋" w:eastAsia="仿宋" w:cs="仿宋"/>
                <w:color w:val="000000"/>
                <w:kern w:val="0"/>
                <w:sz w:val="22"/>
                <w:szCs w:val="22"/>
              </w:rPr>
              <w:t>15</w:t>
            </w:r>
            <w:r>
              <w:rPr>
                <w:rFonts w:hint="eastAsia" w:ascii="仿宋" w:hAnsi="仿宋" w:eastAsia="仿宋" w:cs="仿宋"/>
                <w:color w:val="000000"/>
                <w:kern w:val="0"/>
                <w:sz w:val="22"/>
                <w:szCs w:val="22"/>
              </w:rPr>
              <w:t>日内，将工程竣工验收报告和接受委托的工程质量监督机构及有关部门出具的认可文件报人民防空主管部门备案。防空地下室竣工验收实行备案制度，建设单位在向建设行政主管部门备案时，应当出具人民防空主管部门的认可文件。</w:t>
            </w:r>
            <w:r>
              <w:rPr>
                <w:rFonts w:ascii="仿宋" w:hAnsi="仿宋" w:eastAsia="仿宋" w:cs="仿宋"/>
                <w:color w:val="000000"/>
                <w:kern w:val="0"/>
                <w:sz w:val="22"/>
                <w:szCs w:val="22"/>
              </w:rPr>
              <w:t xml:space="preserve">                                                 3</w:t>
            </w:r>
            <w:r>
              <w:rPr>
                <w:rFonts w:hint="eastAsia" w:ascii="仿宋" w:hAnsi="仿宋" w:eastAsia="仿宋" w:cs="仿宋"/>
                <w:color w:val="000000"/>
                <w:kern w:val="0"/>
                <w:sz w:val="22"/>
                <w:szCs w:val="22"/>
              </w:rPr>
              <w:t>、《人民防空工程质量监督管理规定》（国人防〔</w:t>
            </w:r>
            <w:r>
              <w:rPr>
                <w:rFonts w:ascii="仿宋" w:hAnsi="仿宋" w:eastAsia="仿宋" w:cs="仿宋"/>
                <w:color w:val="000000"/>
                <w:kern w:val="0"/>
                <w:sz w:val="22"/>
                <w:szCs w:val="22"/>
              </w:rPr>
              <w:t>2010</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288</w:t>
            </w:r>
            <w:r>
              <w:rPr>
                <w:rFonts w:hint="eastAsia" w:ascii="仿宋" w:hAnsi="仿宋" w:eastAsia="仿宋" w:cs="仿宋"/>
                <w:color w:val="000000"/>
                <w:kern w:val="0"/>
                <w:sz w:val="22"/>
                <w:szCs w:val="22"/>
              </w:rPr>
              <w:t>号）第十三条：人防工程竣工验收实行备案制。人防工程竣工验收由建设单位组织，人防工程质量监督机构对人防工程竣工验收履行监督责任。人防工程验收合格后</w:t>
            </w:r>
            <w:r>
              <w:rPr>
                <w:rFonts w:ascii="仿宋" w:hAnsi="仿宋" w:eastAsia="仿宋" w:cs="仿宋"/>
                <w:color w:val="000000"/>
                <w:kern w:val="0"/>
                <w:sz w:val="22"/>
                <w:szCs w:val="22"/>
              </w:rPr>
              <w:t>15</w:t>
            </w:r>
            <w:r>
              <w:rPr>
                <w:rFonts w:hint="eastAsia" w:ascii="仿宋" w:hAnsi="仿宋" w:eastAsia="仿宋" w:cs="仿宋"/>
                <w:color w:val="000000"/>
                <w:kern w:val="0"/>
                <w:sz w:val="22"/>
                <w:szCs w:val="22"/>
              </w:rPr>
              <w:t>个工作日内，建设单位应将竣工备案材料报送人防主管部门备案。</w:t>
            </w:r>
            <w:r>
              <w:rPr>
                <w:rFonts w:ascii="仿宋" w:hAnsi="仿宋" w:eastAsia="仿宋" w:cs="仿宋"/>
                <w:color w:val="000000"/>
                <w:kern w:val="0"/>
                <w:sz w:val="22"/>
                <w:szCs w:val="22"/>
              </w:rPr>
              <w:t xml:space="preserve">                                               4</w:t>
            </w:r>
            <w:r>
              <w:rPr>
                <w:rFonts w:hint="eastAsia" w:ascii="仿宋" w:hAnsi="仿宋" w:eastAsia="仿宋" w:cs="仿宋"/>
                <w:color w:val="000000"/>
                <w:kern w:val="0"/>
                <w:sz w:val="22"/>
                <w:szCs w:val="22"/>
              </w:rPr>
              <w:t>、《河南省人民防空工程管理办法》（</w:t>
            </w:r>
            <w:r>
              <w:rPr>
                <w:rFonts w:ascii="仿宋" w:hAnsi="仿宋" w:eastAsia="仿宋" w:cs="仿宋"/>
                <w:color w:val="000000"/>
                <w:kern w:val="0"/>
                <w:sz w:val="22"/>
                <w:szCs w:val="22"/>
              </w:rPr>
              <w:t>2013</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12</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16</w:t>
            </w:r>
            <w:r>
              <w:rPr>
                <w:rFonts w:hint="eastAsia" w:ascii="仿宋" w:hAnsi="仿宋" w:eastAsia="仿宋" w:cs="仿宋"/>
                <w:color w:val="000000"/>
                <w:kern w:val="0"/>
                <w:sz w:val="22"/>
                <w:szCs w:val="22"/>
              </w:rPr>
              <w:t>日河南省人民政府令第</w:t>
            </w:r>
            <w:r>
              <w:rPr>
                <w:rFonts w:ascii="仿宋" w:hAnsi="仿宋" w:eastAsia="仿宋" w:cs="仿宋"/>
                <w:color w:val="000000"/>
                <w:kern w:val="0"/>
                <w:sz w:val="22"/>
                <w:szCs w:val="22"/>
              </w:rPr>
              <w:t>159</w:t>
            </w:r>
            <w:r>
              <w:rPr>
                <w:rFonts w:hint="eastAsia" w:ascii="仿宋" w:hAnsi="仿宋" w:eastAsia="仿宋" w:cs="仿宋"/>
                <w:color w:val="000000"/>
                <w:kern w:val="0"/>
                <w:sz w:val="22"/>
                <w:szCs w:val="22"/>
              </w:rPr>
              <w:t>号公布，</w:t>
            </w:r>
            <w:r>
              <w:rPr>
                <w:rFonts w:ascii="仿宋" w:hAnsi="仿宋" w:eastAsia="仿宋" w:cs="仿宋"/>
                <w:color w:val="000000"/>
                <w:kern w:val="0"/>
                <w:sz w:val="22"/>
                <w:szCs w:val="22"/>
              </w:rPr>
              <w:t>2020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12</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14</w:t>
            </w:r>
            <w:r>
              <w:rPr>
                <w:rFonts w:hint="eastAsia" w:ascii="仿宋" w:hAnsi="仿宋" w:eastAsia="仿宋" w:cs="仿宋"/>
                <w:color w:val="000000"/>
                <w:kern w:val="0"/>
                <w:sz w:val="22"/>
                <w:szCs w:val="22"/>
              </w:rPr>
              <w:t>日省政府第</w:t>
            </w:r>
            <w:r>
              <w:rPr>
                <w:rFonts w:ascii="仿宋" w:hAnsi="仿宋" w:eastAsia="仿宋" w:cs="仿宋"/>
                <w:color w:val="000000"/>
                <w:kern w:val="0"/>
                <w:sz w:val="22"/>
                <w:szCs w:val="22"/>
              </w:rPr>
              <w:t>109</w:t>
            </w:r>
            <w:r>
              <w:rPr>
                <w:rFonts w:hint="eastAsia" w:ascii="仿宋" w:hAnsi="仿宋" w:eastAsia="仿宋" w:cs="仿宋"/>
                <w:color w:val="000000"/>
                <w:kern w:val="0"/>
                <w:sz w:val="22"/>
                <w:szCs w:val="22"/>
              </w:rPr>
              <w:t>次常务会议修订通过河南省人民政府令第</w:t>
            </w:r>
            <w:r>
              <w:rPr>
                <w:rFonts w:ascii="仿宋" w:hAnsi="仿宋" w:eastAsia="仿宋" w:cs="仿宋"/>
                <w:color w:val="000000"/>
                <w:kern w:val="0"/>
                <w:sz w:val="22"/>
                <w:szCs w:val="22"/>
              </w:rPr>
              <w:t>200</w:t>
            </w:r>
            <w:r>
              <w:rPr>
                <w:rFonts w:hint="eastAsia" w:ascii="仿宋" w:hAnsi="仿宋" w:eastAsia="仿宋" w:cs="仿宋"/>
                <w:color w:val="000000"/>
                <w:kern w:val="0"/>
                <w:sz w:val="22"/>
                <w:szCs w:val="22"/>
              </w:rPr>
              <w:t>号）第二十三条　防空地下室竣工验收合格后，与地面建筑施行联合验收备案。建设单位向住房城乡建设主管部门办理备案手续时，应当提供人民防空主管部门出具的竣工认可文件和人防工程质量监督报告。</w:t>
            </w:r>
          </w:p>
        </w:tc>
        <w:tc>
          <w:tcPr>
            <w:tcW w:w="930" w:type="dxa"/>
          </w:tcPr>
          <w:p w14:paraId="2E4F92B0">
            <w:pPr>
              <w:rPr>
                <w:rFonts w:ascii="Arial"/>
              </w:rPr>
            </w:pP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其他职权</w:t>
            </w:r>
          </w:p>
        </w:tc>
        <w:tc>
          <w:tcPr>
            <w:tcW w:w="1470" w:type="dxa"/>
          </w:tcPr>
          <w:p w14:paraId="128FE4BD">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1.受理,2.审核，3.决定，4.送达，5.事后监管</w:t>
            </w:r>
          </w:p>
        </w:tc>
        <w:tc>
          <w:tcPr>
            <w:tcW w:w="3285" w:type="dxa"/>
            <w:tcBorders>
              <w:right w:val="single" w:color="auto" w:sz="4" w:space="0"/>
            </w:tcBorders>
          </w:tcPr>
          <w:p w14:paraId="710F258D">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1.受理；工作人员通过窗口或河南政务服务网接收申报材 料，所交材料不齐全或不符合法定要求的，签发《一 </w:t>
            </w:r>
          </w:p>
          <w:p w14:paraId="38BBE353">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次性告知书》。如所交材料存在可以当场更正的错 </w:t>
            </w:r>
          </w:p>
          <w:p w14:paraId="6C2778F2">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误，申请人可当场更正。如所交材料齐全，应当场 </w:t>
            </w:r>
          </w:p>
          <w:p w14:paraId="64089C5F">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作出是否受理决定，并签发《受理通知书》或《不 </w:t>
            </w:r>
          </w:p>
          <w:p w14:paraId="71991B8F">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予受理通知书》。2.审核；在受理申报材料后，由办理科室对内容进行审查。 如有必要，启动特殊环节进行辅助审查。3.决定；作出是否同意申请事项的决定。作出准予审批（办 理）决定的，签发审批办理结果；作出不予审批（办理）决定的，签发《不予审批（办理）告知单》。</w:t>
            </w:r>
          </w:p>
          <w:p w14:paraId="48B85257">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4.送达；实施机关作出决定当日应通知申请人，及时向申请 人颁发、送达审批服务事项办理结果。5.事后监管；对人防工程竣工验收情况进行检查。其他法律法规规章文件规定应履行的责任。</w:t>
            </w:r>
          </w:p>
          <w:p w14:paraId="67B3BB7B">
            <w:pPr>
              <w:rPr>
                <w:rFonts w:hint="eastAsia" w:ascii="仿宋" w:hAnsi="仿宋" w:eastAsia="仿宋" w:cs="仿宋"/>
                <w:color w:val="000000"/>
                <w:kern w:val="0"/>
                <w:sz w:val="22"/>
                <w:szCs w:val="22"/>
              </w:rPr>
            </w:pPr>
          </w:p>
        </w:tc>
        <w:tc>
          <w:tcPr>
            <w:tcW w:w="1875" w:type="dxa"/>
            <w:tcBorders>
              <w:top w:val="single" w:color="auto" w:sz="4" w:space="0"/>
              <w:left w:val="single" w:color="auto" w:sz="4" w:space="0"/>
              <w:bottom w:val="single" w:color="auto" w:sz="4" w:space="0"/>
              <w:right w:val="single" w:color="auto" w:sz="4" w:space="0"/>
            </w:tcBorders>
          </w:tcPr>
          <w:p w14:paraId="2EE5CD9A">
            <w:pPr>
              <w:rPr>
                <w:rFonts w:ascii="Arial"/>
              </w:rPr>
            </w:pPr>
          </w:p>
        </w:tc>
        <w:tc>
          <w:tcPr>
            <w:tcW w:w="1680" w:type="dxa"/>
            <w:tcBorders>
              <w:top w:val="single" w:color="auto" w:sz="4" w:space="0"/>
              <w:left w:val="single" w:color="auto" w:sz="4" w:space="0"/>
              <w:bottom w:val="single" w:color="auto" w:sz="4" w:space="0"/>
              <w:right w:val="single" w:color="auto" w:sz="4" w:space="0"/>
            </w:tcBorders>
          </w:tcPr>
          <w:p w14:paraId="2D17EA31">
            <w:pPr>
              <w:rPr>
                <w:sz w:val="28"/>
                <w:szCs w:val="28"/>
              </w:rPr>
            </w:pPr>
          </w:p>
          <w:p w14:paraId="5C6DD9F4">
            <w:pPr>
              <w:rPr>
                <w:sz w:val="28"/>
                <w:szCs w:val="28"/>
              </w:rPr>
            </w:pPr>
          </w:p>
          <w:p w14:paraId="0C66490E">
            <w:pPr>
              <w:rPr>
                <w:sz w:val="28"/>
                <w:szCs w:val="28"/>
              </w:rPr>
            </w:pPr>
          </w:p>
          <w:p w14:paraId="3B29EA45">
            <w:pPr>
              <w:rPr>
                <w:sz w:val="28"/>
                <w:szCs w:val="28"/>
              </w:rPr>
            </w:pPr>
          </w:p>
          <w:p w14:paraId="2CB512E1">
            <w:pPr>
              <w:rPr>
                <w:sz w:val="28"/>
                <w:szCs w:val="28"/>
              </w:rPr>
            </w:pPr>
          </w:p>
          <w:p w14:paraId="01315ECC">
            <w:pPr>
              <w:rPr>
                <w:sz w:val="28"/>
                <w:szCs w:val="28"/>
              </w:rPr>
            </w:pPr>
          </w:p>
          <w:p w14:paraId="3563BED3">
            <w:pPr>
              <w:rPr>
                <w:sz w:val="28"/>
                <w:szCs w:val="28"/>
              </w:rPr>
            </w:pPr>
          </w:p>
          <w:p w14:paraId="2EEEEF6A">
            <w:pPr>
              <w:rPr>
                <w:sz w:val="28"/>
                <w:szCs w:val="28"/>
              </w:rPr>
            </w:pPr>
          </w:p>
          <w:p w14:paraId="7E0B3AAF">
            <w:pPr>
              <w:rPr>
                <w:sz w:val="28"/>
                <w:szCs w:val="28"/>
              </w:rPr>
            </w:pPr>
          </w:p>
          <w:p w14:paraId="22565F5E">
            <w:pPr>
              <w:rPr>
                <w:sz w:val="28"/>
                <w:szCs w:val="28"/>
              </w:rPr>
            </w:pPr>
            <w:r>
              <w:rPr>
                <w:rFonts w:hint="eastAsia" w:cs="宋体"/>
                <w:sz w:val="28"/>
                <w:szCs w:val="28"/>
              </w:rPr>
              <w:t>人防中心</w:t>
            </w:r>
          </w:p>
          <w:p w14:paraId="697940D0">
            <w:pPr>
              <w:rPr>
                <w:rFonts w:ascii="Arial"/>
              </w:rPr>
            </w:pPr>
            <w:r>
              <w:rPr>
                <w:rFonts w:hint="eastAsia" w:cs="宋体"/>
                <w:sz w:val="28"/>
                <w:szCs w:val="28"/>
              </w:rPr>
              <w:t>工程股</w:t>
            </w:r>
          </w:p>
        </w:tc>
      </w:tr>
      <w:tr w14:paraId="189A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450" w:type="dxa"/>
            <w:gridSpan w:val="8"/>
          </w:tcPr>
          <w:p w14:paraId="37A9159D">
            <w:pPr>
              <w:spacing w:line="248" w:lineRule="auto"/>
              <w:rPr>
                <w:rFonts w:ascii="Arial"/>
              </w:rPr>
            </w:pPr>
          </w:p>
          <w:p w14:paraId="71F826BD">
            <w:pPr>
              <w:spacing w:before="78" w:line="226" w:lineRule="auto"/>
              <w:ind w:left="5"/>
              <w:rPr>
                <w:rFonts w:ascii="宋体"/>
                <w:sz w:val="24"/>
                <w:szCs w:val="24"/>
              </w:rPr>
            </w:pPr>
            <w:r>
              <w:rPr>
                <w:rFonts w:hint="eastAsia" w:ascii="宋体" w:hAnsi="宋体" w:cs="宋体"/>
                <w:spacing w:val="7"/>
                <w:sz w:val="24"/>
                <w:szCs w:val="24"/>
              </w:rPr>
              <w:t>服务电话：</w:t>
            </w:r>
            <w:r>
              <w:rPr>
                <w:rFonts w:ascii="宋体" w:hAnsi="宋体" w:cs="宋体"/>
                <w:spacing w:val="10"/>
                <w:sz w:val="24"/>
                <w:szCs w:val="24"/>
              </w:rPr>
              <w:t xml:space="preserve"> </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0377-6</w:t>
            </w:r>
            <w:r>
              <w:rPr>
                <w:rFonts w:hint="eastAsia" w:ascii="仿宋_GB2312" w:hAnsi="仿宋_GB2312" w:eastAsia="仿宋_GB2312" w:cs="仿宋_GB2312"/>
                <w:sz w:val="24"/>
                <w:szCs w:val="24"/>
                <w:shd w:val="clear" w:color="070000" w:fill="FFFFFF"/>
                <w:lang w:val="en-US" w:eastAsia="zh-CN"/>
              </w:rPr>
              <w:t>6688388</w:t>
            </w:r>
            <w:r>
              <w:rPr>
                <w:rFonts w:ascii="仿宋_GB2312" w:hAnsi="仿宋_GB2312" w:eastAsia="仿宋_GB2312" w:cs="仿宋_GB2312"/>
                <w:sz w:val="24"/>
                <w:szCs w:val="24"/>
                <w:shd w:val="clear" w:color="070000" w:fill="FFFFFF"/>
              </w:rPr>
              <w:t xml:space="preserve">  </w:t>
            </w:r>
          </w:p>
        </w:tc>
      </w:tr>
      <w:tr w14:paraId="550F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5450" w:type="dxa"/>
            <w:gridSpan w:val="8"/>
          </w:tcPr>
          <w:p w14:paraId="71CC02ED">
            <w:pPr>
              <w:spacing w:line="262" w:lineRule="auto"/>
              <w:rPr>
                <w:rFonts w:ascii="Arial"/>
              </w:rPr>
            </w:pPr>
          </w:p>
          <w:p w14:paraId="3118DBC4">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5E941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tcPr>
          <w:p w14:paraId="787CD0CA">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96" w:type="dxa"/>
          </w:tcPr>
          <w:p w14:paraId="2123ABF7">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285" w:type="dxa"/>
          </w:tcPr>
          <w:p w14:paraId="34083CAA">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30" w:type="dxa"/>
          </w:tcPr>
          <w:p w14:paraId="6ADE4F64">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67EB37D8">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0" w:type="dxa"/>
          </w:tcPr>
          <w:p w14:paraId="046A4F64">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285" w:type="dxa"/>
          </w:tcPr>
          <w:p w14:paraId="4DADE60E">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875" w:type="dxa"/>
          </w:tcPr>
          <w:p w14:paraId="70CF0552">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80" w:type="dxa"/>
          </w:tcPr>
          <w:p w14:paraId="46CC6149">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029F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9" w:type="dxa"/>
          </w:tcPr>
          <w:p w14:paraId="38101730">
            <w:pPr>
              <w:spacing w:line="260" w:lineRule="auto"/>
              <w:rPr>
                <w:rFonts w:ascii="Arial"/>
              </w:rPr>
            </w:pPr>
          </w:p>
          <w:p w14:paraId="221BB3AC">
            <w:pPr>
              <w:spacing w:line="260" w:lineRule="auto"/>
              <w:rPr>
                <w:rFonts w:ascii="Arial"/>
              </w:rPr>
            </w:pPr>
          </w:p>
          <w:p w14:paraId="603810DD">
            <w:pPr>
              <w:spacing w:line="260" w:lineRule="auto"/>
              <w:rPr>
                <w:rFonts w:ascii="Arial"/>
              </w:rPr>
            </w:pPr>
          </w:p>
          <w:p w14:paraId="1B103A75">
            <w:pPr>
              <w:spacing w:line="260" w:lineRule="auto"/>
              <w:rPr>
                <w:rFonts w:ascii="Arial"/>
              </w:rPr>
            </w:pPr>
          </w:p>
          <w:p w14:paraId="62DF69CB">
            <w:pPr>
              <w:spacing w:line="260" w:lineRule="auto"/>
              <w:rPr>
                <w:rFonts w:ascii="Arial"/>
              </w:rPr>
            </w:pPr>
          </w:p>
          <w:p w14:paraId="5937F222">
            <w:pPr>
              <w:spacing w:line="261" w:lineRule="auto"/>
              <w:rPr>
                <w:rFonts w:ascii="Arial"/>
              </w:rPr>
            </w:pPr>
          </w:p>
          <w:p w14:paraId="0979465B">
            <w:pPr>
              <w:spacing w:line="261" w:lineRule="auto"/>
              <w:rPr>
                <w:rFonts w:ascii="Arial"/>
              </w:rPr>
            </w:pPr>
          </w:p>
          <w:p w14:paraId="2874637D">
            <w:pPr>
              <w:spacing w:before="78" w:line="184" w:lineRule="auto"/>
              <w:ind w:left="504"/>
              <w:rPr>
                <w:rFonts w:ascii="宋体"/>
                <w:sz w:val="24"/>
                <w:szCs w:val="24"/>
              </w:rPr>
            </w:pPr>
          </w:p>
          <w:p w14:paraId="1D90C412">
            <w:pPr>
              <w:spacing w:before="78" w:line="184" w:lineRule="auto"/>
              <w:ind w:left="504"/>
              <w:rPr>
                <w:rFonts w:ascii="宋体"/>
                <w:sz w:val="24"/>
                <w:szCs w:val="24"/>
              </w:rPr>
            </w:pPr>
          </w:p>
          <w:p w14:paraId="63DB78EE">
            <w:pPr>
              <w:spacing w:before="78" w:line="184" w:lineRule="auto"/>
              <w:ind w:left="504"/>
              <w:rPr>
                <w:rFonts w:ascii="宋体"/>
                <w:sz w:val="24"/>
                <w:szCs w:val="24"/>
              </w:rPr>
            </w:pPr>
          </w:p>
          <w:p w14:paraId="485EBAA7">
            <w:pPr>
              <w:spacing w:before="78" w:line="184" w:lineRule="auto"/>
              <w:ind w:left="504"/>
              <w:rPr>
                <w:rFonts w:ascii="宋体"/>
                <w:sz w:val="24"/>
                <w:szCs w:val="24"/>
              </w:rPr>
            </w:pPr>
          </w:p>
          <w:p w14:paraId="6925F2A3">
            <w:pPr>
              <w:spacing w:before="78" w:line="184" w:lineRule="auto"/>
              <w:ind w:left="504"/>
              <w:rPr>
                <w:rFonts w:hint="default" w:ascii="宋体" w:eastAsia="宋体"/>
                <w:sz w:val="24"/>
                <w:szCs w:val="24"/>
                <w:lang w:val="en-US" w:eastAsia="zh-CN"/>
              </w:rPr>
            </w:pPr>
            <w:r>
              <w:rPr>
                <w:rFonts w:hint="eastAsia" w:ascii="宋体" w:hAnsi="宋体" w:cs="宋体"/>
                <w:sz w:val="24"/>
                <w:szCs w:val="24"/>
                <w:lang w:val="en-US" w:eastAsia="zh-CN"/>
              </w:rPr>
              <w:t>15</w:t>
            </w:r>
          </w:p>
        </w:tc>
        <w:tc>
          <w:tcPr>
            <w:tcW w:w="1896" w:type="dxa"/>
          </w:tcPr>
          <w:p w14:paraId="1F4EFAC1">
            <w:pPr>
              <w:rPr>
                <w:rFonts w:ascii="仿宋_GB2312" w:hAnsi="宋体" w:eastAsia="仿宋_GB2312"/>
                <w:color w:val="000000"/>
                <w:kern w:val="0"/>
                <w:sz w:val="28"/>
                <w:szCs w:val="28"/>
              </w:rPr>
            </w:pPr>
          </w:p>
          <w:p w14:paraId="7BB1248B">
            <w:pPr>
              <w:rPr>
                <w:rFonts w:ascii="仿宋_GB2312" w:hAnsi="宋体" w:eastAsia="仿宋_GB2312"/>
                <w:color w:val="000000"/>
                <w:kern w:val="0"/>
                <w:sz w:val="28"/>
                <w:szCs w:val="28"/>
              </w:rPr>
            </w:pPr>
          </w:p>
          <w:p w14:paraId="4C3966D1">
            <w:pPr>
              <w:rPr>
                <w:rFonts w:ascii="仿宋_GB2312" w:hAnsi="宋体" w:eastAsia="仿宋_GB2312"/>
                <w:color w:val="000000"/>
                <w:kern w:val="0"/>
                <w:sz w:val="28"/>
                <w:szCs w:val="28"/>
              </w:rPr>
            </w:pPr>
          </w:p>
          <w:p w14:paraId="50A53D23">
            <w:pPr>
              <w:rPr>
                <w:rFonts w:ascii="仿宋_GB2312" w:hAnsi="宋体" w:eastAsia="仿宋_GB2312"/>
                <w:color w:val="000000"/>
                <w:kern w:val="0"/>
                <w:sz w:val="28"/>
                <w:szCs w:val="28"/>
              </w:rPr>
            </w:pPr>
          </w:p>
          <w:p w14:paraId="598C0F05">
            <w:pPr>
              <w:rPr>
                <w:rFonts w:ascii="仿宋_GB2312" w:hAnsi="宋体" w:eastAsia="仿宋_GB2312"/>
                <w:color w:val="000000"/>
                <w:kern w:val="0"/>
                <w:sz w:val="28"/>
                <w:szCs w:val="28"/>
              </w:rPr>
            </w:pPr>
          </w:p>
          <w:p w14:paraId="6A9A7867">
            <w:pPr>
              <w:rPr>
                <w:rFonts w:ascii="Arial"/>
              </w:rPr>
            </w:pPr>
            <w:r>
              <w:rPr>
                <w:rFonts w:hint="eastAsia" w:ascii="仿宋_GB2312" w:hAnsi="宋体" w:eastAsia="仿宋_GB2312" w:cs="仿宋_GB2312"/>
                <w:color w:val="000000"/>
                <w:kern w:val="0"/>
                <w:sz w:val="28"/>
                <w:szCs w:val="28"/>
              </w:rPr>
              <w:t>人民防空工程质量监督手续办理（可以与施工许可证合并办理）</w:t>
            </w:r>
          </w:p>
        </w:tc>
        <w:tc>
          <w:tcPr>
            <w:tcW w:w="3285" w:type="dxa"/>
          </w:tcPr>
          <w:p w14:paraId="341D8689">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《建设工程质量管理条例》（国务院</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日国务院第</w:t>
            </w:r>
            <w:r>
              <w:rPr>
                <w:rFonts w:ascii="仿宋" w:hAnsi="仿宋" w:eastAsia="仿宋" w:cs="仿宋"/>
                <w:color w:val="000000"/>
                <w:kern w:val="0"/>
                <w:sz w:val="22"/>
                <w:szCs w:val="22"/>
              </w:rPr>
              <w:t>25</w:t>
            </w:r>
            <w:r>
              <w:rPr>
                <w:rFonts w:hint="eastAsia" w:ascii="仿宋" w:hAnsi="仿宋" w:eastAsia="仿宋" w:cs="仿宋"/>
                <w:color w:val="000000"/>
                <w:kern w:val="0"/>
                <w:sz w:val="22"/>
                <w:szCs w:val="22"/>
              </w:rPr>
              <w:t>次常务会议通过，</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30</w:t>
            </w:r>
            <w:r>
              <w:rPr>
                <w:rFonts w:hint="eastAsia" w:ascii="仿宋" w:hAnsi="仿宋" w:eastAsia="仿宋" w:cs="仿宋"/>
                <w:color w:val="000000"/>
                <w:kern w:val="0"/>
                <w:sz w:val="22"/>
                <w:szCs w:val="22"/>
              </w:rPr>
              <w:t>日国务院令第</w:t>
            </w:r>
            <w:r>
              <w:rPr>
                <w:rFonts w:ascii="仿宋" w:hAnsi="仿宋" w:eastAsia="仿宋" w:cs="仿宋"/>
                <w:color w:val="000000"/>
                <w:kern w:val="0"/>
                <w:sz w:val="22"/>
                <w:szCs w:val="22"/>
              </w:rPr>
              <w:t>279</w:t>
            </w:r>
            <w:r>
              <w:rPr>
                <w:rFonts w:hint="eastAsia" w:ascii="仿宋" w:hAnsi="仿宋" w:eastAsia="仿宋" w:cs="仿宋"/>
                <w:color w:val="000000"/>
                <w:kern w:val="0"/>
                <w:sz w:val="22"/>
                <w:szCs w:val="22"/>
              </w:rPr>
              <w:t>号发布实施，根据</w:t>
            </w:r>
            <w:r>
              <w:rPr>
                <w:rFonts w:ascii="仿宋" w:hAnsi="仿宋" w:eastAsia="仿宋" w:cs="仿宋"/>
                <w:color w:val="000000"/>
                <w:kern w:val="0"/>
                <w:sz w:val="22"/>
                <w:szCs w:val="22"/>
              </w:rPr>
              <w:t>2017</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日《国务院关于修改部分行政法规的决定》（中华人民共和国国务院令第</w:t>
            </w:r>
            <w:r>
              <w:rPr>
                <w:rFonts w:ascii="仿宋" w:hAnsi="仿宋" w:eastAsia="仿宋" w:cs="仿宋"/>
                <w:color w:val="000000"/>
                <w:kern w:val="0"/>
                <w:sz w:val="22"/>
                <w:szCs w:val="22"/>
              </w:rPr>
              <w:t>687</w:t>
            </w:r>
            <w:r>
              <w:rPr>
                <w:rFonts w:hint="eastAsia" w:ascii="仿宋" w:hAnsi="仿宋" w:eastAsia="仿宋" w:cs="仿宋"/>
                <w:color w:val="000000"/>
                <w:kern w:val="0"/>
                <w:sz w:val="22"/>
                <w:szCs w:val="22"/>
              </w:rPr>
              <w:t>号）第一次修订，根据</w:t>
            </w:r>
            <w:r>
              <w:rPr>
                <w:rFonts w:ascii="仿宋" w:hAnsi="仿宋" w:eastAsia="仿宋" w:cs="仿宋"/>
                <w:color w:val="000000"/>
                <w:kern w:val="0"/>
                <w:sz w:val="22"/>
                <w:szCs w:val="22"/>
              </w:rPr>
              <w:t>2019</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23</w:t>
            </w:r>
            <w:r>
              <w:rPr>
                <w:rFonts w:hint="eastAsia" w:ascii="仿宋" w:hAnsi="仿宋" w:eastAsia="仿宋" w:cs="仿宋"/>
                <w:color w:val="000000"/>
                <w:kern w:val="0"/>
                <w:sz w:val="22"/>
                <w:szCs w:val="22"/>
              </w:rPr>
              <w:t>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r>
              <w:rPr>
                <w:rFonts w:ascii="仿宋" w:hAnsi="仿宋" w:eastAsia="仿宋"/>
                <w:color w:val="000000"/>
                <w:kern w:val="0"/>
                <w:sz w:val="22"/>
                <w:szCs w:val="22"/>
              </w:rPr>
              <w:br w:type="textWrapping"/>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《人民防空工程建设管理规定》（国家国防动员委员会、国家发展计划委员会、建设部、财政部</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2003</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18</w:t>
            </w:r>
            <w:r>
              <w:rPr>
                <w:rFonts w:hint="eastAsia" w:ascii="仿宋" w:hAnsi="仿宋" w:eastAsia="仿宋" w:cs="仿宋"/>
                <w:color w:val="000000"/>
                <w:kern w:val="0"/>
                <w:sz w:val="22"/>
                <w:szCs w:val="22"/>
              </w:rPr>
              <w:t>号）第三十条、第三十二条：人民防空工程建设实行质量监督管理制度。人民防空工程建设单位在工程开工前，必须向工程质量监督机构申请办理质量监督手续，并组织设计、施工单位进行技术交底和图纸会审。</w:t>
            </w:r>
            <w:r>
              <w:rPr>
                <w:rFonts w:ascii="仿宋" w:hAnsi="仿宋" w:eastAsia="仿宋"/>
                <w:color w:val="000000"/>
                <w:kern w:val="0"/>
                <w:sz w:val="22"/>
                <w:szCs w:val="22"/>
              </w:rPr>
              <w:br w:type="textWrapping"/>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《人民防空工程质量监督管理规定》（国人防〔</w:t>
            </w:r>
            <w:r>
              <w:rPr>
                <w:rFonts w:ascii="仿宋" w:hAnsi="仿宋" w:eastAsia="仿宋" w:cs="仿宋"/>
                <w:color w:val="000000"/>
                <w:kern w:val="0"/>
                <w:sz w:val="22"/>
                <w:szCs w:val="22"/>
              </w:rPr>
              <w:t>2010</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288</w:t>
            </w:r>
            <w:r>
              <w:rPr>
                <w:rFonts w:hint="eastAsia" w:ascii="仿宋" w:hAnsi="仿宋" w:eastAsia="仿宋" w:cs="仿宋"/>
                <w:color w:val="000000"/>
                <w:kern w:val="0"/>
                <w:sz w:val="22"/>
                <w:szCs w:val="22"/>
              </w:rPr>
              <w:t>号）第九条、第十条：人防工程建设单位应在申请领取施工许可证前，按规定向人防工程质量监督机构申请办理工程质量监督手续。对建设单位提交的资料，人防工程质量监督机构应在</w:t>
            </w:r>
            <w:r>
              <w:rPr>
                <w:rFonts w:ascii="仿宋" w:hAnsi="仿宋" w:eastAsia="仿宋" w:cs="仿宋"/>
                <w:color w:val="000000"/>
                <w:kern w:val="0"/>
                <w:sz w:val="22"/>
                <w:szCs w:val="22"/>
              </w:rPr>
              <w:t>5</w:t>
            </w:r>
            <w:r>
              <w:rPr>
                <w:rFonts w:hint="eastAsia" w:ascii="仿宋" w:hAnsi="仿宋" w:eastAsia="仿宋" w:cs="仿宋"/>
                <w:color w:val="000000"/>
                <w:kern w:val="0"/>
                <w:sz w:val="22"/>
                <w:szCs w:val="22"/>
              </w:rPr>
              <w:t>个工作日内审核完毕；对符合规定的，应当发给人防工程质量监督受理书和监督方案。</w:t>
            </w:r>
            <w:r>
              <w:rPr>
                <w:rFonts w:ascii="仿宋" w:hAnsi="仿宋" w:eastAsia="仿宋"/>
                <w:color w:val="000000"/>
                <w:kern w:val="0"/>
                <w:sz w:val="22"/>
                <w:szCs w:val="22"/>
              </w:rPr>
              <w:br w:type="textWrapping"/>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《河南省人民防空工程管理办法》（河南省人民政府令第</w:t>
            </w:r>
            <w:r>
              <w:rPr>
                <w:rFonts w:ascii="仿宋" w:hAnsi="仿宋" w:eastAsia="仿宋" w:cs="仿宋"/>
                <w:color w:val="000000"/>
                <w:kern w:val="0"/>
                <w:sz w:val="22"/>
                <w:szCs w:val="22"/>
              </w:rPr>
              <w:t>200</w:t>
            </w:r>
            <w:r>
              <w:rPr>
                <w:rFonts w:hint="eastAsia" w:ascii="仿宋" w:hAnsi="仿宋" w:eastAsia="仿宋" w:cs="仿宋"/>
                <w:color w:val="000000"/>
                <w:kern w:val="0"/>
                <w:sz w:val="22"/>
                <w:szCs w:val="22"/>
              </w:rPr>
              <w:t>号）第二十一条：人防工程建设实行质量监督管理制度。县级以上人民防空主管部门负责防空地下室防护部分工程质量的监督管理，可以委托工程质量监督机构具体实施。接受委托的工程质量监督机构应当按照国家法律、法规、规章、强制性标准及设计文件，对工程质量进行监督，对建设单位申报竣工的工程出具人防工程质量监督报告。</w:t>
            </w:r>
          </w:p>
        </w:tc>
        <w:tc>
          <w:tcPr>
            <w:tcW w:w="930" w:type="dxa"/>
          </w:tcPr>
          <w:p w14:paraId="6B1D0F19">
            <w:pPr>
              <w:rPr>
                <w:rFonts w:ascii="仿宋" w:hAnsi="仿宋" w:eastAsia="仿宋"/>
                <w:color w:val="000000"/>
                <w:kern w:val="0"/>
                <w:sz w:val="28"/>
                <w:szCs w:val="28"/>
              </w:rPr>
            </w:pPr>
          </w:p>
          <w:p w14:paraId="320196E9">
            <w:pPr>
              <w:rPr>
                <w:rFonts w:ascii="仿宋" w:hAnsi="仿宋" w:eastAsia="仿宋"/>
                <w:color w:val="000000"/>
                <w:kern w:val="0"/>
                <w:sz w:val="28"/>
                <w:szCs w:val="28"/>
              </w:rPr>
            </w:pPr>
          </w:p>
          <w:p w14:paraId="0D6C113C">
            <w:pPr>
              <w:rPr>
                <w:rFonts w:ascii="仿宋" w:hAnsi="仿宋" w:eastAsia="仿宋"/>
                <w:color w:val="000000"/>
                <w:kern w:val="0"/>
                <w:sz w:val="28"/>
                <w:szCs w:val="28"/>
              </w:rPr>
            </w:pPr>
          </w:p>
          <w:p w14:paraId="38F460A1">
            <w:pPr>
              <w:rPr>
                <w:rFonts w:ascii="仿宋" w:hAnsi="仿宋" w:eastAsia="仿宋"/>
                <w:color w:val="000000"/>
                <w:kern w:val="0"/>
                <w:sz w:val="28"/>
                <w:szCs w:val="28"/>
              </w:rPr>
            </w:pPr>
          </w:p>
          <w:p w14:paraId="7C845328">
            <w:pPr>
              <w:rPr>
                <w:rFonts w:ascii="仿宋" w:hAnsi="仿宋" w:eastAsia="仿宋"/>
                <w:color w:val="000000"/>
                <w:kern w:val="0"/>
                <w:sz w:val="28"/>
                <w:szCs w:val="28"/>
              </w:rPr>
            </w:pPr>
          </w:p>
          <w:p w14:paraId="557D0480">
            <w:pPr>
              <w:rPr>
                <w:rFonts w:ascii="仿宋" w:hAnsi="仿宋" w:eastAsia="仿宋"/>
                <w:color w:val="000000"/>
                <w:kern w:val="0"/>
                <w:sz w:val="28"/>
                <w:szCs w:val="28"/>
              </w:rPr>
            </w:pPr>
          </w:p>
          <w:p w14:paraId="1F5EB817">
            <w:pPr>
              <w:rPr>
                <w:rFonts w:ascii="仿宋" w:hAnsi="仿宋" w:eastAsia="仿宋"/>
                <w:color w:val="000000"/>
                <w:kern w:val="0"/>
                <w:sz w:val="28"/>
                <w:szCs w:val="28"/>
              </w:rPr>
            </w:pPr>
          </w:p>
          <w:p w14:paraId="668BFE14">
            <w:pPr>
              <w:rPr>
                <w:rFonts w:ascii="仿宋" w:hAnsi="仿宋" w:eastAsia="仿宋"/>
                <w:color w:val="000000"/>
                <w:kern w:val="0"/>
                <w:sz w:val="28"/>
                <w:szCs w:val="28"/>
              </w:rPr>
            </w:pPr>
          </w:p>
          <w:p w14:paraId="1A17AFD0">
            <w:pPr>
              <w:rPr>
                <w:rFonts w:ascii="Arial"/>
              </w:rPr>
            </w:pPr>
            <w:r>
              <w:rPr>
                <w:rFonts w:hint="eastAsia" w:ascii="仿宋" w:hAnsi="仿宋" w:eastAsia="仿宋" w:cs="仿宋"/>
                <w:color w:val="000000"/>
                <w:kern w:val="0"/>
                <w:sz w:val="28"/>
                <w:szCs w:val="28"/>
              </w:rPr>
              <w:t>其他职权</w:t>
            </w:r>
          </w:p>
        </w:tc>
        <w:tc>
          <w:tcPr>
            <w:tcW w:w="1470" w:type="dxa"/>
          </w:tcPr>
          <w:p w14:paraId="4BE2C657">
            <w:pPr>
              <w:rPr>
                <w:rFonts w:ascii="宋体"/>
                <w:sz w:val="28"/>
                <w:szCs w:val="28"/>
              </w:rPr>
            </w:pPr>
          </w:p>
          <w:p w14:paraId="24F54554">
            <w:pPr>
              <w:rPr>
                <w:rFonts w:ascii="宋体"/>
                <w:sz w:val="28"/>
                <w:szCs w:val="28"/>
              </w:rPr>
            </w:pPr>
          </w:p>
          <w:p w14:paraId="7EE36F26">
            <w:pPr>
              <w:rPr>
                <w:rFonts w:ascii="宋体"/>
                <w:sz w:val="28"/>
                <w:szCs w:val="28"/>
              </w:rPr>
            </w:pPr>
          </w:p>
          <w:p w14:paraId="61C511C5">
            <w:pPr>
              <w:rPr>
                <w:rFonts w:ascii="宋体"/>
                <w:sz w:val="28"/>
                <w:szCs w:val="28"/>
              </w:rPr>
            </w:pPr>
          </w:p>
          <w:p w14:paraId="041A1365">
            <w:pPr>
              <w:rPr>
                <w:rFonts w:ascii="宋体"/>
                <w:sz w:val="28"/>
                <w:szCs w:val="28"/>
              </w:rPr>
            </w:pPr>
          </w:p>
          <w:p w14:paraId="43A7875A">
            <w:pPr>
              <w:rPr>
                <w:rFonts w:ascii="宋体"/>
                <w:sz w:val="28"/>
                <w:szCs w:val="28"/>
              </w:rPr>
            </w:pPr>
          </w:p>
          <w:p w14:paraId="6F520FFD">
            <w:pPr>
              <w:rPr>
                <w:rFonts w:ascii="Arial"/>
              </w:rPr>
            </w:pPr>
            <w:r>
              <w:rPr>
                <w:rFonts w:ascii="宋体" w:hAnsi="宋体" w:cs="宋体"/>
                <w:sz w:val="28"/>
                <w:szCs w:val="28"/>
              </w:rPr>
              <w:t>1.</w:t>
            </w:r>
            <w:r>
              <w:rPr>
                <w:rFonts w:hint="eastAsia" w:ascii="宋体" w:hAnsi="宋体" w:cs="宋体"/>
                <w:sz w:val="28"/>
                <w:szCs w:val="28"/>
              </w:rPr>
              <w:t>受理</w:t>
            </w:r>
            <w:r>
              <w:rPr>
                <w:rFonts w:ascii="宋体" w:hAnsi="宋体" w:cs="宋体"/>
                <w:sz w:val="28"/>
                <w:szCs w:val="28"/>
              </w:rPr>
              <w:t>,2.</w:t>
            </w:r>
            <w:r>
              <w:rPr>
                <w:rFonts w:hint="eastAsia" w:ascii="宋体" w:hAnsi="宋体" w:cs="宋体"/>
                <w:sz w:val="28"/>
                <w:szCs w:val="28"/>
              </w:rPr>
              <w:t>审核，</w:t>
            </w:r>
            <w:r>
              <w:rPr>
                <w:rFonts w:ascii="宋体" w:hAnsi="宋体" w:cs="宋体"/>
                <w:sz w:val="28"/>
                <w:szCs w:val="28"/>
              </w:rPr>
              <w:t>3.</w:t>
            </w:r>
            <w:r>
              <w:rPr>
                <w:rFonts w:hint="eastAsia" w:ascii="宋体" w:hAnsi="宋体" w:cs="宋体"/>
                <w:sz w:val="28"/>
                <w:szCs w:val="28"/>
              </w:rPr>
              <w:t>决定，</w:t>
            </w:r>
            <w:r>
              <w:rPr>
                <w:rFonts w:ascii="宋体" w:hAnsi="宋体" w:cs="宋体"/>
                <w:sz w:val="28"/>
                <w:szCs w:val="28"/>
              </w:rPr>
              <w:t>4.</w:t>
            </w:r>
            <w:r>
              <w:rPr>
                <w:rFonts w:hint="eastAsia" w:ascii="宋体" w:hAnsi="宋体" w:cs="宋体"/>
                <w:sz w:val="28"/>
                <w:szCs w:val="28"/>
              </w:rPr>
              <w:t>送达，</w:t>
            </w:r>
            <w:r>
              <w:rPr>
                <w:rFonts w:ascii="宋体" w:hAnsi="宋体" w:cs="宋体"/>
                <w:sz w:val="28"/>
                <w:szCs w:val="28"/>
              </w:rPr>
              <w:t>5.</w:t>
            </w:r>
            <w:r>
              <w:rPr>
                <w:rFonts w:hint="eastAsia" w:ascii="宋体" w:hAnsi="宋体" w:cs="宋体"/>
                <w:sz w:val="28"/>
                <w:szCs w:val="28"/>
              </w:rPr>
              <w:t>事后监管</w:t>
            </w:r>
          </w:p>
        </w:tc>
        <w:tc>
          <w:tcPr>
            <w:tcW w:w="3285" w:type="dxa"/>
          </w:tcPr>
          <w:p w14:paraId="39954E37">
            <w:pPr>
              <w:widowControl/>
              <w:jc w:val="left"/>
            </w:pPr>
            <w:r>
              <w:t>1.</w:t>
            </w:r>
            <w:r>
              <w:rPr>
                <w:rFonts w:hint="eastAsia" w:cs="宋体"/>
              </w:rPr>
              <w:t>受理；</w:t>
            </w:r>
            <w:r>
              <w:rPr>
                <w:rFonts w:hint="eastAsia" w:ascii="仿宋_GB2312" w:hAnsi="仿宋_GB2312" w:eastAsia="仿宋_GB2312" w:cs="仿宋_GB2312"/>
                <w:color w:val="000000"/>
                <w:kern w:val="0"/>
              </w:rPr>
              <w:t>工作人员通过窗口或河南政务服务网接收申报材</w:t>
            </w:r>
            <w:r>
              <w:rPr>
                <w:rFonts w:ascii="仿宋_GB2312" w:hAnsi="仿宋_GB2312" w:eastAsia="仿宋_GB2312" w:cs="仿宋_GB2312"/>
                <w:color w:val="000000"/>
                <w:kern w:val="0"/>
              </w:rPr>
              <w:t xml:space="preserve"> </w:t>
            </w:r>
          </w:p>
          <w:p w14:paraId="16279225">
            <w:pPr>
              <w:widowControl/>
              <w:jc w:val="left"/>
            </w:pPr>
            <w:r>
              <w:rPr>
                <w:rFonts w:hint="eastAsia" w:ascii="仿宋_GB2312" w:hAnsi="仿宋_GB2312" w:eastAsia="仿宋_GB2312" w:cs="仿宋_GB2312"/>
                <w:color w:val="000000"/>
                <w:kern w:val="0"/>
              </w:rPr>
              <w:t>料，所交材料不齐全或不符合法定要求的，签发《一</w:t>
            </w:r>
            <w:r>
              <w:rPr>
                <w:rFonts w:ascii="仿宋_GB2312" w:hAnsi="仿宋_GB2312" w:eastAsia="仿宋_GB2312" w:cs="仿宋_GB2312"/>
                <w:color w:val="000000"/>
                <w:kern w:val="0"/>
              </w:rPr>
              <w:t xml:space="preserve"> </w:t>
            </w:r>
          </w:p>
          <w:p w14:paraId="77D4B48C">
            <w:pPr>
              <w:widowControl/>
              <w:jc w:val="left"/>
            </w:pPr>
            <w:r>
              <w:rPr>
                <w:rFonts w:hint="eastAsia" w:ascii="仿宋_GB2312" w:hAnsi="仿宋_GB2312" w:eastAsia="仿宋_GB2312" w:cs="仿宋_GB2312"/>
                <w:color w:val="000000"/>
                <w:kern w:val="0"/>
              </w:rPr>
              <w:t>次性告知书》。如所交材料存在可以当场更正的错</w:t>
            </w:r>
            <w:r>
              <w:rPr>
                <w:rFonts w:ascii="仿宋_GB2312" w:hAnsi="仿宋_GB2312" w:eastAsia="仿宋_GB2312" w:cs="仿宋_GB2312"/>
                <w:color w:val="000000"/>
                <w:kern w:val="0"/>
              </w:rPr>
              <w:t xml:space="preserve"> </w:t>
            </w:r>
          </w:p>
          <w:p w14:paraId="783AA285">
            <w:pPr>
              <w:widowControl/>
              <w:jc w:val="left"/>
            </w:pPr>
            <w:r>
              <w:rPr>
                <w:rFonts w:hint="eastAsia" w:ascii="仿宋_GB2312" w:hAnsi="仿宋_GB2312" w:eastAsia="仿宋_GB2312" w:cs="仿宋_GB2312"/>
                <w:color w:val="000000"/>
                <w:kern w:val="0"/>
              </w:rPr>
              <w:t>误，申请人可当场更正。如所交材料齐全，应当场</w:t>
            </w:r>
            <w:r>
              <w:rPr>
                <w:rFonts w:ascii="仿宋_GB2312" w:hAnsi="仿宋_GB2312" w:eastAsia="仿宋_GB2312" w:cs="仿宋_GB2312"/>
                <w:color w:val="000000"/>
                <w:kern w:val="0"/>
              </w:rPr>
              <w:t xml:space="preserve"> </w:t>
            </w:r>
          </w:p>
          <w:p w14:paraId="1E5BDE95">
            <w:pPr>
              <w:widowControl/>
              <w:jc w:val="left"/>
            </w:pPr>
            <w:r>
              <w:rPr>
                <w:rFonts w:hint="eastAsia" w:ascii="仿宋_GB2312" w:hAnsi="仿宋_GB2312" w:eastAsia="仿宋_GB2312" w:cs="仿宋_GB2312"/>
                <w:color w:val="000000"/>
                <w:kern w:val="0"/>
              </w:rPr>
              <w:t>作出是否受理决定，并签发《受理通知书》或《不</w:t>
            </w:r>
            <w:r>
              <w:rPr>
                <w:rFonts w:ascii="仿宋_GB2312" w:hAnsi="仿宋_GB2312" w:eastAsia="仿宋_GB2312" w:cs="仿宋_GB2312"/>
                <w:color w:val="000000"/>
                <w:kern w:val="0"/>
              </w:rPr>
              <w:t xml:space="preserve"> </w:t>
            </w:r>
          </w:p>
          <w:p w14:paraId="339E0251">
            <w:pPr>
              <w:widowControl/>
              <w:jc w:val="left"/>
            </w:pPr>
            <w:r>
              <w:rPr>
                <w:rFonts w:hint="eastAsia" w:ascii="仿宋_GB2312" w:hAnsi="仿宋_GB2312" w:eastAsia="仿宋_GB2312" w:cs="仿宋_GB2312"/>
                <w:color w:val="000000"/>
                <w:kern w:val="0"/>
              </w:rPr>
              <w:t>予受理通知书》。</w:t>
            </w: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审核；在受理申报材料后，由办理科室对内容进行审查。</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如有必要，启动特殊环节进行辅助审查。</w:t>
            </w: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决定；作出是否同意申请事项的决定。作出准予审批（办</w:t>
            </w:r>
            <w:r>
              <w:rPr>
                <w:rFonts w:ascii="仿宋_GB2312" w:hAnsi="仿宋_GB2312" w:eastAsia="仿宋_GB2312" w:cs="仿宋_GB2312"/>
                <w:color w:val="000000"/>
                <w:kern w:val="0"/>
              </w:rPr>
              <w:t xml:space="preserve"> </w:t>
            </w:r>
          </w:p>
          <w:p w14:paraId="3008A10E">
            <w:pPr>
              <w:widowControl/>
              <w:jc w:val="left"/>
            </w:pPr>
            <w:r>
              <w:rPr>
                <w:rFonts w:hint="eastAsia" w:ascii="仿宋_GB2312" w:hAnsi="仿宋_GB2312" w:eastAsia="仿宋_GB2312" w:cs="仿宋_GB2312"/>
                <w:color w:val="000000"/>
                <w:kern w:val="0"/>
              </w:rPr>
              <w:t>理）决定的，签发审批办理结果；作出不予审批（办</w:t>
            </w:r>
            <w:r>
              <w:rPr>
                <w:rFonts w:ascii="仿宋_GB2312" w:hAnsi="仿宋_GB2312" w:eastAsia="仿宋_GB2312" w:cs="仿宋_GB2312"/>
                <w:color w:val="000000"/>
                <w:kern w:val="0"/>
              </w:rPr>
              <w:t xml:space="preserve"> </w:t>
            </w:r>
          </w:p>
          <w:p w14:paraId="77BFE203">
            <w:pPr>
              <w:widowControl/>
              <w:jc w:val="left"/>
            </w:pPr>
            <w:r>
              <w:rPr>
                <w:rFonts w:hint="eastAsia" w:ascii="仿宋_GB2312" w:hAnsi="仿宋_GB2312" w:eastAsia="仿宋_GB2312" w:cs="仿宋_GB2312"/>
                <w:color w:val="000000"/>
                <w:kern w:val="0"/>
              </w:rPr>
              <w:t>理）决定的，签发《不予审批（办理）告知单》。</w:t>
            </w:r>
            <w:r>
              <w:rPr>
                <w:rFonts w:ascii="仿宋_GB2312" w:hAnsi="仿宋_GB2312" w:eastAsia="仿宋_GB2312" w:cs="仿宋_GB2312"/>
                <w:color w:val="000000"/>
                <w:kern w:val="0"/>
              </w:rPr>
              <w:t>4.</w:t>
            </w:r>
            <w:r>
              <w:rPr>
                <w:rFonts w:hint="eastAsia" w:ascii="仿宋_GB2312" w:hAnsi="仿宋_GB2312" w:eastAsia="仿宋_GB2312" w:cs="仿宋_GB2312"/>
                <w:color w:val="000000"/>
                <w:kern w:val="0"/>
              </w:rPr>
              <w:t>送达；实施机关作出决定当日应通知申请人，及时向申请</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人颁发、送达审批服务事项办理结果。</w:t>
            </w:r>
            <w:r>
              <w:rPr>
                <w:rFonts w:ascii="仿宋_GB2312" w:hAnsi="仿宋_GB2312" w:eastAsia="仿宋_GB2312" w:cs="仿宋_GB2312"/>
                <w:color w:val="000000"/>
                <w:kern w:val="0"/>
              </w:rPr>
              <w:t>5.</w:t>
            </w:r>
            <w:r>
              <w:rPr>
                <w:rFonts w:hint="eastAsia" w:ascii="仿宋_GB2312" w:hAnsi="仿宋_GB2312" w:eastAsia="仿宋_GB2312" w:cs="仿宋_GB2312"/>
                <w:color w:val="000000"/>
                <w:kern w:val="0"/>
              </w:rPr>
              <w:t>事后监管；按照规定监督检查工程建设质量。其他法律法规规章文件规定应履行的责任。</w:t>
            </w:r>
          </w:p>
          <w:p w14:paraId="723C39BA">
            <w:pPr>
              <w:rPr>
                <w:rFonts w:ascii="Arial"/>
              </w:rPr>
            </w:pPr>
          </w:p>
        </w:tc>
        <w:tc>
          <w:tcPr>
            <w:tcW w:w="1875" w:type="dxa"/>
          </w:tcPr>
          <w:p w14:paraId="6C5AA841">
            <w:pPr>
              <w:rPr>
                <w:rFonts w:ascii="Arial"/>
              </w:rPr>
            </w:pPr>
          </w:p>
        </w:tc>
        <w:tc>
          <w:tcPr>
            <w:tcW w:w="1680" w:type="dxa"/>
          </w:tcPr>
          <w:p w14:paraId="1219AE4C">
            <w:pPr>
              <w:rPr>
                <w:sz w:val="28"/>
                <w:szCs w:val="28"/>
              </w:rPr>
            </w:pPr>
          </w:p>
          <w:p w14:paraId="098D99DA">
            <w:pPr>
              <w:rPr>
                <w:sz w:val="28"/>
                <w:szCs w:val="28"/>
              </w:rPr>
            </w:pPr>
          </w:p>
          <w:p w14:paraId="407E3B70">
            <w:pPr>
              <w:rPr>
                <w:sz w:val="28"/>
                <w:szCs w:val="28"/>
              </w:rPr>
            </w:pPr>
          </w:p>
          <w:p w14:paraId="1FF1C115">
            <w:pPr>
              <w:rPr>
                <w:sz w:val="28"/>
                <w:szCs w:val="28"/>
              </w:rPr>
            </w:pPr>
          </w:p>
          <w:p w14:paraId="7357D0F3">
            <w:pPr>
              <w:rPr>
                <w:sz w:val="28"/>
                <w:szCs w:val="28"/>
              </w:rPr>
            </w:pPr>
          </w:p>
          <w:p w14:paraId="4F51F838">
            <w:pPr>
              <w:rPr>
                <w:sz w:val="28"/>
                <w:szCs w:val="28"/>
              </w:rPr>
            </w:pPr>
          </w:p>
          <w:p w14:paraId="24B9EED1">
            <w:pPr>
              <w:rPr>
                <w:sz w:val="28"/>
                <w:szCs w:val="28"/>
              </w:rPr>
            </w:pPr>
          </w:p>
          <w:p w14:paraId="14F512A4">
            <w:pPr>
              <w:rPr>
                <w:sz w:val="28"/>
                <w:szCs w:val="28"/>
              </w:rPr>
            </w:pPr>
          </w:p>
          <w:p w14:paraId="17BD2257">
            <w:pPr>
              <w:rPr>
                <w:sz w:val="28"/>
                <w:szCs w:val="28"/>
              </w:rPr>
            </w:pPr>
          </w:p>
          <w:p w14:paraId="6E1F0171">
            <w:pPr>
              <w:rPr>
                <w:sz w:val="28"/>
                <w:szCs w:val="28"/>
              </w:rPr>
            </w:pPr>
          </w:p>
          <w:p w14:paraId="1A058871">
            <w:pPr>
              <w:rPr>
                <w:sz w:val="28"/>
                <w:szCs w:val="28"/>
              </w:rPr>
            </w:pPr>
            <w:r>
              <w:rPr>
                <w:rFonts w:hint="eastAsia" w:cs="宋体"/>
                <w:sz w:val="28"/>
                <w:szCs w:val="28"/>
              </w:rPr>
              <w:t>人防中心</w:t>
            </w:r>
          </w:p>
          <w:p w14:paraId="0A909A84">
            <w:pPr>
              <w:rPr>
                <w:rFonts w:ascii="Arial"/>
              </w:rPr>
            </w:pPr>
            <w:r>
              <w:rPr>
                <w:rFonts w:hint="eastAsia" w:cs="宋体"/>
                <w:sz w:val="28"/>
                <w:szCs w:val="28"/>
              </w:rPr>
              <w:t>工程股</w:t>
            </w:r>
          </w:p>
        </w:tc>
      </w:tr>
      <w:tr w14:paraId="502D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450" w:type="dxa"/>
            <w:gridSpan w:val="8"/>
          </w:tcPr>
          <w:p w14:paraId="59C84E1A">
            <w:pPr>
              <w:spacing w:line="248" w:lineRule="auto"/>
              <w:rPr>
                <w:rFonts w:ascii="Arial"/>
              </w:rPr>
            </w:pPr>
          </w:p>
          <w:p w14:paraId="0E5767D6">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71E0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5450" w:type="dxa"/>
            <w:gridSpan w:val="8"/>
          </w:tcPr>
          <w:p w14:paraId="65A3EDA4">
            <w:pPr>
              <w:spacing w:line="262" w:lineRule="auto"/>
              <w:rPr>
                <w:rFonts w:ascii="Arial"/>
              </w:rPr>
            </w:pPr>
          </w:p>
          <w:p w14:paraId="5015D0A0">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1BB2241C">
      <w:pPr>
        <w:rPr>
          <w:rFonts w:ascii="Arial"/>
        </w:rPr>
      </w:pPr>
    </w:p>
    <w:tbl>
      <w:tblPr>
        <w:tblStyle w:val="8"/>
        <w:tblW w:w="15090" w:type="dxa"/>
        <w:tblInd w:w="-8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585"/>
        <w:gridCol w:w="5955"/>
        <w:gridCol w:w="630"/>
        <w:gridCol w:w="675"/>
        <w:gridCol w:w="4590"/>
        <w:gridCol w:w="720"/>
        <w:gridCol w:w="1320"/>
      </w:tblGrid>
      <w:tr w14:paraId="2F2C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15" w:type="dxa"/>
          </w:tcPr>
          <w:p w14:paraId="242ABD41">
            <w:pPr>
              <w:spacing w:before="202" w:line="221" w:lineRule="auto"/>
              <w:ind w:left="328"/>
              <w:rPr>
                <w:rFonts w:ascii="宋体"/>
                <w:sz w:val="24"/>
                <w:szCs w:val="24"/>
              </w:rPr>
            </w:pPr>
            <w:r>
              <w:rPr>
                <w:rFonts w:hint="eastAsia" w:ascii="宋体" w:hAnsi="宋体" w:cs="宋体"/>
                <w:b/>
                <w:bCs/>
                <w:spacing w:val="-5"/>
                <w:sz w:val="24"/>
                <w:szCs w:val="24"/>
              </w:rPr>
              <w:t>序号</w:t>
            </w:r>
          </w:p>
        </w:tc>
        <w:tc>
          <w:tcPr>
            <w:tcW w:w="585" w:type="dxa"/>
          </w:tcPr>
          <w:p w14:paraId="60D435EA">
            <w:pPr>
              <w:spacing w:before="202" w:line="220" w:lineRule="auto"/>
              <w:rPr>
                <w:rFonts w:ascii="宋体"/>
                <w:sz w:val="24"/>
                <w:szCs w:val="24"/>
              </w:rPr>
            </w:pPr>
            <w:r>
              <w:rPr>
                <w:rFonts w:hint="eastAsia" w:ascii="宋体" w:hAnsi="宋体" w:cs="宋体"/>
                <w:b/>
                <w:bCs/>
                <w:spacing w:val="-5"/>
                <w:sz w:val="24"/>
                <w:szCs w:val="24"/>
              </w:rPr>
              <w:t>项目名称</w:t>
            </w:r>
          </w:p>
        </w:tc>
        <w:tc>
          <w:tcPr>
            <w:tcW w:w="5955" w:type="dxa"/>
          </w:tcPr>
          <w:p w14:paraId="709107E7">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630" w:type="dxa"/>
          </w:tcPr>
          <w:p w14:paraId="607E6102">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01D237D9">
            <w:pPr>
              <w:spacing w:before="1" w:line="209" w:lineRule="auto"/>
              <w:ind w:left="287"/>
              <w:rPr>
                <w:rFonts w:ascii="宋体"/>
                <w:sz w:val="24"/>
                <w:szCs w:val="24"/>
              </w:rPr>
            </w:pPr>
            <w:r>
              <w:rPr>
                <w:rFonts w:hint="eastAsia" w:ascii="宋体" w:hAnsi="宋体" w:cs="宋体"/>
                <w:b/>
                <w:bCs/>
                <w:spacing w:val="3"/>
                <w:sz w:val="24"/>
                <w:szCs w:val="24"/>
              </w:rPr>
              <w:t>类别</w:t>
            </w:r>
          </w:p>
        </w:tc>
        <w:tc>
          <w:tcPr>
            <w:tcW w:w="675" w:type="dxa"/>
          </w:tcPr>
          <w:p w14:paraId="40435A3A">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4590" w:type="dxa"/>
          </w:tcPr>
          <w:p w14:paraId="6E161577">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720" w:type="dxa"/>
          </w:tcPr>
          <w:p w14:paraId="7F2BC2DF">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320" w:type="dxa"/>
          </w:tcPr>
          <w:p w14:paraId="67CCBF78">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45FAD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615" w:type="dxa"/>
          </w:tcPr>
          <w:p w14:paraId="28DF9439">
            <w:pPr>
              <w:spacing w:line="260" w:lineRule="auto"/>
              <w:rPr>
                <w:rFonts w:ascii="Arial"/>
              </w:rPr>
            </w:pPr>
          </w:p>
          <w:p w14:paraId="77B910A4">
            <w:pPr>
              <w:spacing w:line="260" w:lineRule="auto"/>
              <w:rPr>
                <w:rFonts w:ascii="Arial"/>
              </w:rPr>
            </w:pPr>
          </w:p>
          <w:p w14:paraId="661584E7">
            <w:pPr>
              <w:spacing w:line="260" w:lineRule="auto"/>
              <w:rPr>
                <w:rFonts w:ascii="Arial"/>
              </w:rPr>
            </w:pPr>
          </w:p>
          <w:p w14:paraId="33500BE5">
            <w:pPr>
              <w:spacing w:before="78" w:line="184" w:lineRule="auto"/>
              <w:rPr>
                <w:rFonts w:hint="eastAsia" w:ascii="宋体" w:eastAsia="宋体"/>
                <w:sz w:val="24"/>
                <w:szCs w:val="24"/>
                <w:lang w:eastAsia="zh-CN"/>
              </w:rPr>
            </w:pPr>
            <w:r>
              <w:rPr>
                <w:rFonts w:ascii="宋体" w:hAnsi="宋体" w:cs="宋体"/>
                <w:sz w:val="24"/>
                <w:szCs w:val="24"/>
              </w:rPr>
              <w:t>1</w:t>
            </w:r>
            <w:r>
              <w:rPr>
                <w:rFonts w:hint="eastAsia" w:ascii="宋体" w:hAnsi="宋体" w:cs="宋体"/>
                <w:sz w:val="24"/>
                <w:szCs w:val="24"/>
                <w:lang w:val="en-US" w:eastAsia="zh-CN"/>
              </w:rPr>
              <w:t>6</w:t>
            </w:r>
          </w:p>
        </w:tc>
        <w:tc>
          <w:tcPr>
            <w:tcW w:w="585" w:type="dxa"/>
          </w:tcPr>
          <w:p w14:paraId="79E0E1F3">
            <w:pPr>
              <w:rPr>
                <w:rFonts w:ascii="Arial"/>
              </w:rPr>
            </w:pPr>
            <w:r>
              <w:rPr>
                <w:rFonts w:hint="eastAsia" w:ascii="仿宋_GB2312" w:hAnsi="宋体" w:eastAsia="仿宋_GB2312" w:cs="仿宋_GB2312"/>
                <w:color w:val="000000"/>
                <w:kern w:val="0"/>
                <w:sz w:val="28"/>
                <w:szCs w:val="28"/>
              </w:rPr>
              <w:t>人民防空工程施工质量检查</w:t>
            </w:r>
          </w:p>
        </w:tc>
        <w:tc>
          <w:tcPr>
            <w:tcW w:w="5955" w:type="dxa"/>
          </w:tcPr>
          <w:p w14:paraId="1E6F7FB3">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《建设工程质量管理条例》第四十七条</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县级以上地方人民政府建设行政主管部门和其他有关部门应当加强对有关建设工程质量的法律、法规和强制性标准执行情况的监督检查。</w:t>
            </w:r>
            <w:r>
              <w:rPr>
                <w:rFonts w:ascii="仿宋" w:hAnsi="仿宋" w:eastAsia="仿宋"/>
                <w:color w:val="000000"/>
                <w:kern w:val="0"/>
                <w:sz w:val="22"/>
                <w:szCs w:val="22"/>
              </w:rPr>
              <w:br w:type="textWrapping"/>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《建设工程质量管理条例》（国务院</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日国务院第</w:t>
            </w:r>
            <w:r>
              <w:rPr>
                <w:rFonts w:ascii="仿宋" w:hAnsi="仿宋" w:eastAsia="仿宋" w:cs="仿宋"/>
                <w:color w:val="000000"/>
                <w:kern w:val="0"/>
                <w:sz w:val="22"/>
                <w:szCs w:val="22"/>
              </w:rPr>
              <w:t>25</w:t>
            </w:r>
            <w:r>
              <w:rPr>
                <w:rFonts w:hint="eastAsia" w:ascii="仿宋" w:hAnsi="仿宋" w:eastAsia="仿宋" w:cs="仿宋"/>
                <w:color w:val="000000"/>
                <w:kern w:val="0"/>
                <w:sz w:val="22"/>
                <w:szCs w:val="22"/>
              </w:rPr>
              <w:t>次常务会议通过，</w:t>
            </w:r>
            <w:r>
              <w:rPr>
                <w:rFonts w:ascii="仿宋" w:hAnsi="仿宋" w:eastAsia="仿宋" w:cs="仿宋"/>
                <w:color w:val="000000"/>
                <w:kern w:val="0"/>
                <w:sz w:val="22"/>
                <w:szCs w:val="22"/>
              </w:rPr>
              <w:t>2000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30</w:t>
            </w:r>
            <w:r>
              <w:rPr>
                <w:rFonts w:hint="eastAsia" w:ascii="仿宋" w:hAnsi="仿宋" w:eastAsia="仿宋" w:cs="仿宋"/>
                <w:color w:val="000000"/>
                <w:kern w:val="0"/>
                <w:sz w:val="22"/>
                <w:szCs w:val="22"/>
              </w:rPr>
              <w:t>日国务院令第</w:t>
            </w:r>
            <w:r>
              <w:rPr>
                <w:rFonts w:ascii="仿宋" w:hAnsi="仿宋" w:eastAsia="仿宋" w:cs="仿宋"/>
                <w:color w:val="000000"/>
                <w:kern w:val="0"/>
                <w:sz w:val="22"/>
                <w:szCs w:val="22"/>
              </w:rPr>
              <w:t>279</w:t>
            </w:r>
            <w:r>
              <w:rPr>
                <w:rFonts w:hint="eastAsia" w:ascii="仿宋" w:hAnsi="仿宋" w:eastAsia="仿宋" w:cs="仿宋"/>
                <w:color w:val="000000"/>
                <w:kern w:val="0"/>
                <w:sz w:val="22"/>
                <w:szCs w:val="22"/>
              </w:rPr>
              <w:t>号发布实施，根据</w:t>
            </w:r>
            <w:r>
              <w:rPr>
                <w:rFonts w:ascii="仿宋" w:hAnsi="仿宋" w:eastAsia="仿宋" w:cs="仿宋"/>
                <w:color w:val="000000"/>
                <w:kern w:val="0"/>
                <w:sz w:val="22"/>
                <w:szCs w:val="22"/>
              </w:rPr>
              <w:t>2017</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10</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日《国务院关于修改部分行政法规的决定》（中华人民共和国国务院令第</w:t>
            </w:r>
            <w:r>
              <w:rPr>
                <w:rFonts w:ascii="仿宋" w:hAnsi="仿宋" w:eastAsia="仿宋" w:cs="仿宋"/>
                <w:color w:val="000000"/>
                <w:kern w:val="0"/>
                <w:sz w:val="22"/>
                <w:szCs w:val="22"/>
              </w:rPr>
              <w:t>687</w:t>
            </w:r>
            <w:r>
              <w:rPr>
                <w:rFonts w:hint="eastAsia" w:ascii="仿宋" w:hAnsi="仿宋" w:eastAsia="仿宋" w:cs="仿宋"/>
                <w:color w:val="000000"/>
                <w:kern w:val="0"/>
                <w:sz w:val="22"/>
                <w:szCs w:val="22"/>
              </w:rPr>
              <w:t>号）第一次修订，根据</w:t>
            </w:r>
            <w:r>
              <w:rPr>
                <w:rFonts w:ascii="仿宋" w:hAnsi="仿宋" w:eastAsia="仿宋" w:cs="仿宋"/>
                <w:color w:val="000000"/>
                <w:kern w:val="0"/>
                <w:sz w:val="22"/>
                <w:szCs w:val="22"/>
              </w:rPr>
              <w:t>2019</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23</w:t>
            </w:r>
            <w:r>
              <w:rPr>
                <w:rFonts w:hint="eastAsia" w:ascii="仿宋" w:hAnsi="仿宋" w:eastAsia="仿宋" w:cs="仿宋"/>
                <w:color w:val="000000"/>
                <w:kern w:val="0"/>
                <w:sz w:val="22"/>
                <w:szCs w:val="22"/>
              </w:rPr>
              <w:t>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r>
              <w:rPr>
                <w:rFonts w:ascii="仿宋" w:hAnsi="仿宋" w:eastAsia="仿宋"/>
                <w:color w:val="000000"/>
                <w:kern w:val="0"/>
                <w:sz w:val="22"/>
                <w:szCs w:val="22"/>
              </w:rPr>
              <w:br w:type="textWrapping"/>
            </w:r>
            <w:r>
              <w:rPr>
                <w:rFonts w:ascii="仿宋" w:hAnsi="仿宋" w:eastAsia="仿宋" w:cs="仿宋"/>
                <w:color w:val="000000"/>
                <w:kern w:val="0"/>
                <w:sz w:val="22"/>
                <w:szCs w:val="22"/>
              </w:rPr>
              <w:t>3.</w:t>
            </w:r>
            <w:r>
              <w:rPr>
                <w:rFonts w:hint="eastAsia" w:ascii="仿宋" w:hAnsi="仿宋" w:eastAsia="仿宋" w:cs="仿宋"/>
                <w:color w:val="000000"/>
                <w:kern w:val="0"/>
                <w:sz w:val="22"/>
                <w:szCs w:val="22"/>
              </w:rPr>
              <w:t>《人民防空工程建设管理规定》（国家国防动员委员会、国家发展计划委员会、建设部、财政部</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2003</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18</w:t>
            </w:r>
            <w:r>
              <w:rPr>
                <w:rFonts w:hint="eastAsia" w:ascii="仿宋" w:hAnsi="仿宋" w:eastAsia="仿宋" w:cs="仿宋"/>
                <w:color w:val="000000"/>
                <w:kern w:val="0"/>
                <w:sz w:val="22"/>
                <w:szCs w:val="22"/>
              </w:rPr>
              <w:t>号）第三十条、第三十二条：人民防空工程建设实行质量监督管理制度。人民防空工程建设单位在工程开工前，必须向工程质量监督机构申请办理质量监督手续，并组织设计、施工单位进行技术交底和图纸会审。</w:t>
            </w:r>
            <w:r>
              <w:rPr>
                <w:rFonts w:ascii="仿宋" w:hAnsi="仿宋" w:eastAsia="仿宋"/>
                <w:color w:val="000000"/>
                <w:kern w:val="0"/>
                <w:sz w:val="22"/>
                <w:szCs w:val="22"/>
              </w:rPr>
              <w:br w:type="textWrapping"/>
            </w: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《人民防空工程质量监督管理规定》（国人防〔</w:t>
            </w:r>
            <w:r>
              <w:rPr>
                <w:rFonts w:ascii="仿宋" w:hAnsi="仿宋" w:eastAsia="仿宋" w:cs="仿宋"/>
                <w:color w:val="000000"/>
                <w:kern w:val="0"/>
                <w:sz w:val="22"/>
                <w:szCs w:val="22"/>
              </w:rPr>
              <w:t>2010</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288</w:t>
            </w:r>
            <w:r>
              <w:rPr>
                <w:rFonts w:hint="eastAsia" w:ascii="仿宋" w:hAnsi="仿宋" w:eastAsia="仿宋" w:cs="仿宋"/>
                <w:color w:val="000000"/>
                <w:kern w:val="0"/>
                <w:sz w:val="22"/>
                <w:szCs w:val="22"/>
              </w:rPr>
              <w:t>号）第九条、第十条：人防工程建设单位应在申请领取施工许可证前，按规定向人防工程质量监督机构申请办理工程质量监督手续。对建设单位提交的资料，人防工程质量监督机构应在</w:t>
            </w:r>
            <w:r>
              <w:rPr>
                <w:rFonts w:ascii="仿宋" w:hAnsi="仿宋" w:eastAsia="仿宋" w:cs="仿宋"/>
                <w:color w:val="000000"/>
                <w:kern w:val="0"/>
                <w:sz w:val="22"/>
                <w:szCs w:val="22"/>
              </w:rPr>
              <w:t>5</w:t>
            </w:r>
            <w:r>
              <w:rPr>
                <w:rFonts w:hint="eastAsia" w:ascii="仿宋" w:hAnsi="仿宋" w:eastAsia="仿宋" w:cs="仿宋"/>
                <w:color w:val="000000"/>
                <w:kern w:val="0"/>
                <w:sz w:val="22"/>
                <w:szCs w:val="22"/>
              </w:rPr>
              <w:t>个工作日内审核完毕；对符合规定的，应当发给人防工程质量监督受理书和监督方案。</w:t>
            </w:r>
          </w:p>
        </w:tc>
        <w:tc>
          <w:tcPr>
            <w:tcW w:w="630" w:type="dxa"/>
          </w:tcPr>
          <w:p w14:paraId="42140375">
            <w:pPr>
              <w:rPr>
                <w:rFonts w:ascii="仿宋" w:hAnsi="仿宋" w:eastAsia="仿宋"/>
                <w:color w:val="000000"/>
                <w:kern w:val="0"/>
                <w:sz w:val="30"/>
                <w:szCs w:val="30"/>
              </w:rPr>
            </w:pPr>
          </w:p>
          <w:p w14:paraId="7513DDDB">
            <w:pPr>
              <w:rPr>
                <w:rFonts w:ascii="仿宋" w:hAnsi="仿宋" w:eastAsia="仿宋"/>
                <w:color w:val="000000"/>
                <w:kern w:val="0"/>
                <w:sz w:val="30"/>
                <w:szCs w:val="30"/>
              </w:rPr>
            </w:pPr>
          </w:p>
          <w:p w14:paraId="57E77722">
            <w:pPr>
              <w:rPr>
                <w:rFonts w:ascii="仿宋" w:hAnsi="仿宋" w:eastAsia="仿宋"/>
                <w:color w:val="000000"/>
                <w:kern w:val="0"/>
                <w:sz w:val="30"/>
                <w:szCs w:val="30"/>
              </w:rPr>
            </w:pPr>
          </w:p>
          <w:p w14:paraId="0E440BE2">
            <w:pPr>
              <w:rPr>
                <w:rFonts w:ascii="仿宋" w:hAnsi="仿宋" w:eastAsia="仿宋"/>
                <w:color w:val="000000"/>
                <w:kern w:val="0"/>
                <w:sz w:val="30"/>
                <w:szCs w:val="30"/>
              </w:rPr>
            </w:pPr>
          </w:p>
          <w:p w14:paraId="265E0243">
            <w:pPr>
              <w:rPr>
                <w:rFonts w:ascii="Arial"/>
              </w:rPr>
            </w:pPr>
            <w:r>
              <w:rPr>
                <w:rFonts w:hint="eastAsia" w:ascii="仿宋" w:hAnsi="仿宋" w:eastAsia="仿宋" w:cs="仿宋"/>
                <w:color w:val="000000"/>
                <w:kern w:val="0"/>
                <w:sz w:val="30"/>
                <w:szCs w:val="30"/>
              </w:rPr>
              <w:t>其他职权</w:t>
            </w:r>
          </w:p>
        </w:tc>
        <w:tc>
          <w:tcPr>
            <w:tcW w:w="675" w:type="dxa"/>
          </w:tcPr>
          <w:p w14:paraId="7E5041FB">
            <w:pPr>
              <w:rPr>
                <w:rFonts w:ascii="宋体"/>
                <w:sz w:val="30"/>
                <w:szCs w:val="30"/>
              </w:rPr>
            </w:pPr>
          </w:p>
          <w:p w14:paraId="55CCF573">
            <w:pPr>
              <w:rPr>
                <w:rFonts w:ascii="宋体"/>
                <w:sz w:val="30"/>
                <w:szCs w:val="30"/>
              </w:rPr>
            </w:pPr>
          </w:p>
          <w:p w14:paraId="679C8C22">
            <w:pPr>
              <w:rPr>
                <w:rFonts w:ascii="宋体"/>
                <w:sz w:val="30"/>
                <w:szCs w:val="30"/>
              </w:rPr>
            </w:pPr>
          </w:p>
          <w:p w14:paraId="11C572E2">
            <w:pPr>
              <w:rPr>
                <w:rFonts w:ascii="Arial"/>
              </w:rPr>
            </w:pPr>
            <w:r>
              <w:rPr>
                <w:rFonts w:ascii="宋体" w:hAnsi="宋体" w:cs="宋体"/>
                <w:sz w:val="30"/>
                <w:szCs w:val="30"/>
              </w:rPr>
              <w:t>1</w:t>
            </w:r>
            <w:r>
              <w:rPr>
                <w:rFonts w:hint="eastAsia" w:ascii="仿宋" w:hAnsi="仿宋" w:eastAsia="仿宋" w:cs="仿宋"/>
                <w:color w:val="000000"/>
                <w:kern w:val="0"/>
                <w:sz w:val="22"/>
                <w:szCs w:val="22"/>
              </w:rPr>
              <w:t>.受理,2.审核，3.决定，4.送达，5.事后监管</w:t>
            </w:r>
          </w:p>
        </w:tc>
        <w:tc>
          <w:tcPr>
            <w:tcW w:w="4590" w:type="dxa"/>
          </w:tcPr>
          <w:p w14:paraId="3492A734">
            <w:pPr>
              <w:widowControl/>
              <w:jc w:val="left"/>
            </w:pPr>
            <w:r>
              <w:t>1.</w:t>
            </w:r>
            <w:r>
              <w:rPr>
                <w:rFonts w:hint="eastAsia" w:cs="宋体"/>
              </w:rPr>
              <w:t>决定；</w:t>
            </w:r>
            <w:r>
              <w:rPr>
                <w:rFonts w:hint="eastAsia" w:ascii="仿宋_GB2312" w:hAnsi="仿宋_GB2312" w:eastAsia="仿宋_GB2312" w:cs="仿宋_GB2312"/>
                <w:color w:val="000000"/>
                <w:kern w:val="0"/>
              </w:rPr>
              <w:t>科学制定检查计划，采取随机抽查、专项检查、交</w:t>
            </w:r>
            <w:r>
              <w:rPr>
                <w:rFonts w:ascii="仿宋_GB2312" w:hAnsi="仿宋_GB2312" w:eastAsia="仿宋_GB2312" w:cs="仿宋_GB2312"/>
                <w:color w:val="000000"/>
                <w:kern w:val="0"/>
              </w:rPr>
              <w:t xml:space="preserve"> </w:t>
            </w:r>
          </w:p>
          <w:p w14:paraId="5F04B15B">
            <w:pPr>
              <w:widowControl/>
              <w:jc w:val="left"/>
              <w:rPr>
                <w:sz w:val="28"/>
                <w:szCs w:val="28"/>
              </w:rPr>
            </w:pPr>
            <w:r>
              <w:rPr>
                <w:rFonts w:hint="eastAsia" w:ascii="仿宋_GB2312" w:hAnsi="仿宋_GB2312" w:eastAsia="仿宋_GB2312" w:cs="仿宋_GB2312"/>
                <w:color w:val="000000"/>
                <w:kern w:val="0"/>
              </w:rPr>
              <w:t>叉检查、年度检查等检查方式。</w:t>
            </w: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检查；到被检查单位查阅档案、人防工程现场实地检查，</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形成检查意见和整改建议，并填写检查意见反馈表。</w:t>
            </w: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督促；督促责任单位对所查隐患限期整改，并及时上报整</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改报告，逾期不整改的将进行通报。</w:t>
            </w:r>
            <w:r>
              <w:rPr>
                <w:rFonts w:ascii="仿宋_GB2312" w:hAnsi="仿宋_GB2312" w:eastAsia="仿宋_GB2312" w:cs="仿宋_GB2312"/>
                <w:color w:val="000000"/>
                <w:kern w:val="0"/>
              </w:rPr>
              <w:t>4.</w:t>
            </w:r>
            <w:r>
              <w:rPr>
                <w:rFonts w:hint="eastAsia" w:ascii="仿宋_GB2312" w:hAnsi="仿宋_GB2312" w:eastAsia="仿宋_GB2312" w:cs="仿宋_GB2312"/>
                <w:color w:val="000000"/>
                <w:kern w:val="0"/>
              </w:rPr>
              <w:t>监管；接到整改报告后，对整改情况进行抽查，并将整改</w:t>
            </w: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事项列入日常检查内容，杜绝类似问题重复发生。其他法律法规规章文件规定应履行的责</w:t>
            </w:r>
            <w:r>
              <w:rPr>
                <w:rFonts w:hint="eastAsia" w:ascii="仿宋_GB2312" w:hAnsi="仿宋_GB2312" w:eastAsia="仿宋_GB2312" w:cs="仿宋_GB2312"/>
                <w:color w:val="000000"/>
                <w:kern w:val="0"/>
                <w:sz w:val="28"/>
                <w:szCs w:val="28"/>
              </w:rPr>
              <w:t>任。</w:t>
            </w:r>
          </w:p>
          <w:p w14:paraId="05791F1A">
            <w:pPr>
              <w:rPr>
                <w:rFonts w:ascii="Arial"/>
              </w:rPr>
            </w:pPr>
          </w:p>
        </w:tc>
        <w:tc>
          <w:tcPr>
            <w:tcW w:w="720" w:type="dxa"/>
          </w:tcPr>
          <w:p w14:paraId="62638A30">
            <w:pPr>
              <w:rPr>
                <w:rFonts w:ascii="Arial"/>
              </w:rPr>
            </w:pPr>
          </w:p>
        </w:tc>
        <w:tc>
          <w:tcPr>
            <w:tcW w:w="1320" w:type="dxa"/>
          </w:tcPr>
          <w:p w14:paraId="00584471">
            <w:pPr>
              <w:rPr>
                <w:sz w:val="28"/>
                <w:szCs w:val="28"/>
              </w:rPr>
            </w:pPr>
          </w:p>
          <w:p w14:paraId="070F8DED">
            <w:pPr>
              <w:rPr>
                <w:sz w:val="28"/>
                <w:szCs w:val="28"/>
              </w:rPr>
            </w:pPr>
          </w:p>
          <w:p w14:paraId="51F8D60E">
            <w:pPr>
              <w:rPr>
                <w:sz w:val="28"/>
                <w:szCs w:val="28"/>
              </w:rPr>
            </w:pPr>
          </w:p>
          <w:p w14:paraId="26CAC45C">
            <w:pPr>
              <w:rPr>
                <w:sz w:val="28"/>
                <w:szCs w:val="28"/>
              </w:rPr>
            </w:pPr>
          </w:p>
          <w:p w14:paraId="3F395F32">
            <w:pPr>
              <w:rPr>
                <w:sz w:val="28"/>
                <w:szCs w:val="28"/>
              </w:rPr>
            </w:pPr>
          </w:p>
          <w:p w14:paraId="0D60B061">
            <w:pPr>
              <w:rPr>
                <w:sz w:val="28"/>
                <w:szCs w:val="28"/>
              </w:rPr>
            </w:pPr>
          </w:p>
          <w:p w14:paraId="73E8A114">
            <w:pPr>
              <w:rPr>
                <w:sz w:val="28"/>
                <w:szCs w:val="28"/>
              </w:rPr>
            </w:pPr>
          </w:p>
          <w:p w14:paraId="50A2D14C">
            <w:pPr>
              <w:rPr>
                <w:sz w:val="28"/>
                <w:szCs w:val="28"/>
              </w:rPr>
            </w:pPr>
          </w:p>
          <w:p w14:paraId="739EA133">
            <w:pPr>
              <w:rPr>
                <w:sz w:val="28"/>
                <w:szCs w:val="28"/>
              </w:rPr>
            </w:pPr>
          </w:p>
          <w:p w14:paraId="7A988BD0">
            <w:pPr>
              <w:rPr>
                <w:sz w:val="28"/>
                <w:szCs w:val="28"/>
              </w:rPr>
            </w:pPr>
          </w:p>
          <w:p w14:paraId="6EE5785E">
            <w:pPr>
              <w:rPr>
                <w:sz w:val="28"/>
                <w:szCs w:val="28"/>
              </w:rPr>
            </w:pPr>
            <w:r>
              <w:rPr>
                <w:rFonts w:hint="eastAsia" w:cs="宋体"/>
                <w:sz w:val="28"/>
                <w:szCs w:val="28"/>
              </w:rPr>
              <w:t>人防中心</w:t>
            </w:r>
          </w:p>
          <w:p w14:paraId="7A394D0E">
            <w:pPr>
              <w:rPr>
                <w:rFonts w:ascii="Arial"/>
              </w:rPr>
            </w:pPr>
            <w:r>
              <w:rPr>
                <w:rFonts w:hint="eastAsia" w:cs="宋体"/>
                <w:sz w:val="28"/>
                <w:szCs w:val="28"/>
              </w:rPr>
              <w:t>工程股</w:t>
            </w:r>
          </w:p>
        </w:tc>
      </w:tr>
      <w:tr w14:paraId="38E3C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5090" w:type="dxa"/>
            <w:gridSpan w:val="8"/>
          </w:tcPr>
          <w:p w14:paraId="1FEAC428">
            <w:pPr>
              <w:spacing w:line="248" w:lineRule="auto"/>
              <w:rPr>
                <w:rFonts w:ascii="Arial"/>
              </w:rPr>
            </w:pPr>
          </w:p>
          <w:p w14:paraId="03EDCA23">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45CE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90" w:type="dxa"/>
            <w:gridSpan w:val="8"/>
          </w:tcPr>
          <w:p w14:paraId="28FC9E74">
            <w:pPr>
              <w:spacing w:line="262" w:lineRule="auto"/>
              <w:rPr>
                <w:rFonts w:ascii="Arial"/>
              </w:rPr>
            </w:pPr>
          </w:p>
          <w:p w14:paraId="127A1658">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5299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15" w:type="dxa"/>
          </w:tcPr>
          <w:p w14:paraId="0ACD533D">
            <w:pPr>
              <w:spacing w:before="202" w:line="221" w:lineRule="auto"/>
              <w:ind w:left="328"/>
              <w:rPr>
                <w:rFonts w:ascii="宋体"/>
                <w:sz w:val="24"/>
                <w:szCs w:val="24"/>
              </w:rPr>
            </w:pPr>
            <w:r>
              <w:rPr>
                <w:rFonts w:hint="eastAsia" w:ascii="宋体" w:hAnsi="宋体" w:cs="宋体"/>
                <w:b/>
                <w:bCs/>
                <w:spacing w:val="-5"/>
                <w:sz w:val="24"/>
                <w:szCs w:val="24"/>
              </w:rPr>
              <w:t>序号</w:t>
            </w:r>
          </w:p>
        </w:tc>
        <w:tc>
          <w:tcPr>
            <w:tcW w:w="585" w:type="dxa"/>
          </w:tcPr>
          <w:p w14:paraId="0A24BF99">
            <w:pPr>
              <w:spacing w:before="202" w:line="220" w:lineRule="auto"/>
              <w:rPr>
                <w:rFonts w:ascii="宋体"/>
                <w:sz w:val="24"/>
                <w:szCs w:val="24"/>
              </w:rPr>
            </w:pPr>
            <w:r>
              <w:rPr>
                <w:rFonts w:hint="eastAsia" w:ascii="宋体" w:hAnsi="宋体" w:cs="宋体"/>
                <w:b/>
                <w:bCs/>
                <w:spacing w:val="-5"/>
                <w:sz w:val="24"/>
                <w:szCs w:val="24"/>
              </w:rPr>
              <w:t>项目名称</w:t>
            </w:r>
          </w:p>
        </w:tc>
        <w:tc>
          <w:tcPr>
            <w:tcW w:w="5955" w:type="dxa"/>
          </w:tcPr>
          <w:p w14:paraId="1AFD27AD">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630" w:type="dxa"/>
          </w:tcPr>
          <w:p w14:paraId="49107666">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3637D35F">
            <w:pPr>
              <w:spacing w:before="1" w:line="209" w:lineRule="auto"/>
              <w:ind w:left="287"/>
              <w:rPr>
                <w:rFonts w:ascii="宋体"/>
                <w:sz w:val="24"/>
                <w:szCs w:val="24"/>
              </w:rPr>
            </w:pPr>
            <w:r>
              <w:rPr>
                <w:rFonts w:hint="eastAsia" w:ascii="宋体" w:hAnsi="宋体" w:cs="宋体"/>
                <w:b/>
                <w:bCs/>
                <w:spacing w:val="3"/>
                <w:sz w:val="24"/>
                <w:szCs w:val="24"/>
              </w:rPr>
              <w:t>类别</w:t>
            </w:r>
          </w:p>
        </w:tc>
        <w:tc>
          <w:tcPr>
            <w:tcW w:w="675" w:type="dxa"/>
          </w:tcPr>
          <w:p w14:paraId="10E219EE">
            <w:pPr>
              <w:spacing w:before="201" w:line="219" w:lineRule="auto"/>
              <w:rPr>
                <w:rFonts w:ascii="宋体"/>
                <w:sz w:val="24"/>
                <w:szCs w:val="24"/>
              </w:rPr>
            </w:pPr>
            <w:r>
              <w:rPr>
                <w:rFonts w:hint="eastAsia" w:ascii="宋体" w:hAnsi="宋体" w:cs="宋体"/>
                <w:b/>
                <w:bCs/>
                <w:spacing w:val="-6"/>
                <w:sz w:val="24"/>
                <w:szCs w:val="24"/>
              </w:rPr>
              <w:t>办理环节</w:t>
            </w:r>
          </w:p>
        </w:tc>
        <w:tc>
          <w:tcPr>
            <w:tcW w:w="4590" w:type="dxa"/>
          </w:tcPr>
          <w:p w14:paraId="30641428">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720" w:type="dxa"/>
          </w:tcPr>
          <w:p w14:paraId="338198B1">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320" w:type="dxa"/>
          </w:tcPr>
          <w:p w14:paraId="19630F8E">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7B765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15" w:type="dxa"/>
          </w:tcPr>
          <w:p w14:paraId="2B9706AA">
            <w:pPr>
              <w:spacing w:line="260" w:lineRule="auto"/>
              <w:rPr>
                <w:rFonts w:ascii="Arial"/>
              </w:rPr>
            </w:pPr>
          </w:p>
          <w:p w14:paraId="5632238F">
            <w:pPr>
              <w:spacing w:line="260" w:lineRule="auto"/>
              <w:rPr>
                <w:rFonts w:ascii="Arial"/>
              </w:rPr>
            </w:pPr>
          </w:p>
          <w:p w14:paraId="510D10AA">
            <w:pPr>
              <w:spacing w:line="260" w:lineRule="auto"/>
              <w:rPr>
                <w:rFonts w:ascii="Arial"/>
              </w:rPr>
            </w:pPr>
          </w:p>
          <w:p w14:paraId="4F7EF6A4">
            <w:pPr>
              <w:spacing w:line="260" w:lineRule="auto"/>
              <w:rPr>
                <w:rFonts w:ascii="Arial"/>
              </w:rPr>
            </w:pPr>
          </w:p>
          <w:p w14:paraId="42575B7B">
            <w:pPr>
              <w:spacing w:line="260" w:lineRule="auto"/>
              <w:rPr>
                <w:rFonts w:ascii="Arial"/>
              </w:rPr>
            </w:pPr>
          </w:p>
          <w:p w14:paraId="10BDF77B">
            <w:pPr>
              <w:spacing w:line="261" w:lineRule="auto"/>
              <w:rPr>
                <w:rFonts w:ascii="Arial"/>
              </w:rPr>
            </w:pPr>
          </w:p>
          <w:p w14:paraId="79D25F71">
            <w:pPr>
              <w:spacing w:line="261" w:lineRule="auto"/>
              <w:rPr>
                <w:rFonts w:ascii="Arial"/>
              </w:rPr>
            </w:pPr>
          </w:p>
          <w:p w14:paraId="1D061949">
            <w:pPr>
              <w:spacing w:before="78" w:line="184" w:lineRule="auto"/>
              <w:ind w:left="504"/>
              <w:rPr>
                <w:rFonts w:ascii="宋体"/>
                <w:sz w:val="24"/>
                <w:szCs w:val="24"/>
              </w:rPr>
            </w:pPr>
          </w:p>
          <w:p w14:paraId="100EA205">
            <w:pPr>
              <w:spacing w:before="78" w:line="184" w:lineRule="auto"/>
              <w:ind w:left="504"/>
              <w:rPr>
                <w:rFonts w:ascii="宋体"/>
                <w:sz w:val="24"/>
                <w:szCs w:val="24"/>
              </w:rPr>
            </w:pPr>
          </w:p>
          <w:p w14:paraId="4C4CE946">
            <w:pPr>
              <w:spacing w:before="78" w:line="184" w:lineRule="auto"/>
              <w:ind w:left="504"/>
              <w:rPr>
                <w:rFonts w:ascii="宋体"/>
                <w:sz w:val="24"/>
                <w:szCs w:val="24"/>
              </w:rPr>
            </w:pPr>
          </w:p>
          <w:p w14:paraId="7CF615D0">
            <w:pPr>
              <w:spacing w:before="78" w:line="184" w:lineRule="auto"/>
              <w:rPr>
                <w:rFonts w:hint="eastAsia" w:ascii="宋体" w:eastAsia="宋体"/>
                <w:sz w:val="24"/>
                <w:szCs w:val="24"/>
                <w:lang w:eastAsia="zh-CN"/>
              </w:rPr>
            </w:pPr>
            <w:r>
              <w:rPr>
                <w:rFonts w:ascii="宋体" w:hAnsi="宋体" w:cs="宋体"/>
                <w:sz w:val="24"/>
                <w:szCs w:val="24"/>
              </w:rPr>
              <w:t>1</w:t>
            </w:r>
            <w:r>
              <w:rPr>
                <w:rFonts w:hint="eastAsia" w:ascii="宋体" w:hAnsi="宋体" w:cs="宋体"/>
                <w:sz w:val="24"/>
                <w:szCs w:val="24"/>
                <w:lang w:val="en-US" w:eastAsia="zh-CN"/>
              </w:rPr>
              <w:t>7</w:t>
            </w:r>
          </w:p>
        </w:tc>
        <w:tc>
          <w:tcPr>
            <w:tcW w:w="585" w:type="dxa"/>
          </w:tcPr>
          <w:p w14:paraId="251AA8CD">
            <w:pPr>
              <w:rPr>
                <w:rFonts w:ascii="仿宋_GB2312" w:hAnsi="宋体" w:eastAsia="仿宋_GB2312"/>
                <w:color w:val="000000"/>
                <w:kern w:val="0"/>
                <w:sz w:val="28"/>
                <w:szCs w:val="28"/>
              </w:rPr>
            </w:pPr>
          </w:p>
          <w:p w14:paraId="73547ABA">
            <w:pPr>
              <w:rPr>
                <w:rFonts w:ascii="仿宋_GB2312" w:hAnsi="宋体" w:eastAsia="仿宋_GB2312"/>
                <w:color w:val="000000"/>
                <w:kern w:val="0"/>
                <w:sz w:val="28"/>
                <w:szCs w:val="28"/>
              </w:rPr>
            </w:pPr>
          </w:p>
          <w:p w14:paraId="42DE93B2">
            <w:pPr>
              <w:rPr>
                <w:rFonts w:ascii="Arial"/>
              </w:rPr>
            </w:pPr>
            <w:r>
              <w:rPr>
                <w:rFonts w:hint="eastAsia" w:ascii="仿宋_GB2312" w:hAnsi="宋体" w:eastAsia="仿宋_GB2312" w:cs="仿宋_GB2312"/>
                <w:color w:val="000000"/>
                <w:kern w:val="0"/>
                <w:sz w:val="28"/>
                <w:szCs w:val="28"/>
              </w:rPr>
              <w:t>建设项目竣工验收人防核实认可</w:t>
            </w:r>
          </w:p>
        </w:tc>
        <w:tc>
          <w:tcPr>
            <w:tcW w:w="5955" w:type="dxa"/>
          </w:tcPr>
          <w:p w14:paraId="006FE410">
            <w:pPr>
              <w:numPr>
                <w:ilvl w:val="0"/>
                <w:numId w:val="1"/>
              </w:numPr>
              <w:rPr>
                <w:rFonts w:ascii="仿宋" w:hAnsi="仿宋" w:eastAsia="仿宋" w:cs="仿宋"/>
                <w:color w:val="000000"/>
                <w:kern w:val="0"/>
                <w:sz w:val="22"/>
                <w:szCs w:val="22"/>
              </w:rPr>
            </w:pPr>
            <w:r>
              <w:rPr>
                <w:rFonts w:hint="eastAsia" w:ascii="仿宋" w:hAnsi="仿宋" w:eastAsia="仿宋" w:cs="仿宋"/>
                <w:color w:val="000000"/>
                <w:kern w:val="0"/>
                <w:sz w:val="22"/>
                <w:szCs w:val="22"/>
              </w:rPr>
              <w:t>《河南省人民防空工程管理办法》（</w:t>
            </w:r>
            <w:r>
              <w:rPr>
                <w:rFonts w:ascii="仿宋" w:hAnsi="仿宋" w:eastAsia="仿宋" w:cs="仿宋"/>
                <w:color w:val="000000"/>
                <w:kern w:val="0"/>
                <w:sz w:val="22"/>
                <w:szCs w:val="22"/>
              </w:rPr>
              <w:t>2013</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12</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16</w:t>
            </w:r>
            <w:r>
              <w:rPr>
                <w:rFonts w:hint="eastAsia" w:ascii="仿宋" w:hAnsi="仿宋" w:eastAsia="仿宋" w:cs="仿宋"/>
                <w:color w:val="000000"/>
                <w:kern w:val="0"/>
                <w:sz w:val="22"/>
                <w:szCs w:val="22"/>
              </w:rPr>
              <w:t>日河南省人民政府令第</w:t>
            </w:r>
            <w:r>
              <w:rPr>
                <w:rFonts w:ascii="仿宋" w:hAnsi="仿宋" w:eastAsia="仿宋" w:cs="仿宋"/>
                <w:color w:val="000000"/>
                <w:kern w:val="0"/>
                <w:sz w:val="22"/>
                <w:szCs w:val="22"/>
              </w:rPr>
              <w:t>159</w:t>
            </w:r>
            <w:r>
              <w:rPr>
                <w:rFonts w:hint="eastAsia" w:ascii="仿宋" w:hAnsi="仿宋" w:eastAsia="仿宋" w:cs="仿宋"/>
                <w:color w:val="000000"/>
                <w:kern w:val="0"/>
                <w:sz w:val="22"/>
                <w:szCs w:val="22"/>
              </w:rPr>
              <w:t>号公布，</w:t>
            </w:r>
            <w:r>
              <w:rPr>
                <w:rFonts w:ascii="仿宋" w:hAnsi="仿宋" w:eastAsia="仿宋" w:cs="仿宋"/>
                <w:color w:val="000000"/>
                <w:kern w:val="0"/>
                <w:sz w:val="22"/>
                <w:szCs w:val="22"/>
              </w:rPr>
              <w:t>2020</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12</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14</w:t>
            </w:r>
            <w:r>
              <w:rPr>
                <w:rFonts w:hint="eastAsia" w:ascii="仿宋" w:hAnsi="仿宋" w:eastAsia="仿宋" w:cs="仿宋"/>
                <w:color w:val="000000"/>
                <w:kern w:val="0"/>
                <w:sz w:val="22"/>
                <w:szCs w:val="22"/>
              </w:rPr>
              <w:t>日省政府第</w:t>
            </w:r>
            <w:r>
              <w:rPr>
                <w:rFonts w:ascii="仿宋" w:hAnsi="仿宋" w:eastAsia="仿宋" w:cs="仿宋"/>
                <w:color w:val="000000"/>
                <w:kern w:val="0"/>
                <w:sz w:val="22"/>
                <w:szCs w:val="22"/>
              </w:rPr>
              <w:t>109</w:t>
            </w:r>
            <w:r>
              <w:rPr>
                <w:rFonts w:hint="eastAsia" w:ascii="仿宋" w:hAnsi="仿宋" w:eastAsia="仿宋" w:cs="仿宋"/>
                <w:color w:val="000000"/>
                <w:kern w:val="0"/>
                <w:sz w:val="22"/>
                <w:szCs w:val="22"/>
              </w:rPr>
              <w:t>次常务会议修订通过河南省人民政府令第</w:t>
            </w:r>
            <w:r>
              <w:rPr>
                <w:rFonts w:ascii="仿宋" w:hAnsi="仿宋" w:eastAsia="仿宋" w:cs="仿宋"/>
                <w:color w:val="000000"/>
                <w:kern w:val="0"/>
                <w:sz w:val="22"/>
                <w:szCs w:val="22"/>
              </w:rPr>
              <w:t>200</w:t>
            </w:r>
            <w:r>
              <w:rPr>
                <w:rFonts w:hint="eastAsia" w:ascii="仿宋" w:hAnsi="仿宋" w:eastAsia="仿宋" w:cs="仿宋"/>
                <w:color w:val="000000"/>
                <w:kern w:val="0"/>
                <w:sz w:val="22"/>
                <w:szCs w:val="22"/>
              </w:rPr>
              <w:t>号）第二十三条　防空地下室竣工验收合格后，与地面建筑施行联合验收备案。建设单位向住房城乡建设主管部门办理备案手续时，应当提供人民防空主管部门出具的竣工认可文件和人防工程质量监督报告。单建人防工程按照国家和本省规定进行竣工验收备案。</w:t>
            </w:r>
            <w:r>
              <w:rPr>
                <w:rFonts w:ascii="仿宋" w:hAnsi="仿宋" w:eastAsia="仿宋"/>
                <w:color w:val="000000"/>
                <w:kern w:val="0"/>
                <w:sz w:val="22"/>
                <w:szCs w:val="22"/>
              </w:rPr>
              <w:br w:type="textWrapping"/>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、河南省人民防空办公室《关于印发河南省人防工程审批制度改革实施意见的通知》（豫人防</w:t>
            </w:r>
            <w:r>
              <w:rPr>
                <w:rFonts w:ascii="仿宋" w:hAnsi="仿宋" w:eastAsia="仿宋" w:cs="仿宋"/>
                <w:color w:val="000000"/>
                <w:kern w:val="0"/>
                <w:sz w:val="22"/>
                <w:szCs w:val="22"/>
              </w:rPr>
              <w:t>[2019]54</w:t>
            </w:r>
            <w:r>
              <w:rPr>
                <w:rFonts w:hint="eastAsia" w:ascii="仿宋" w:hAnsi="仿宋" w:eastAsia="仿宋" w:cs="仿宋"/>
                <w:color w:val="000000"/>
                <w:kern w:val="0"/>
                <w:sz w:val="22"/>
                <w:szCs w:val="22"/>
              </w:rPr>
              <w:t>号）第一款第四条：人防部门根据“联合验收”成果，对项目配建人防工程建设内容要求和易地建设费缴纳情况进行复核，出具人防工程竣工核实认可文件</w:t>
            </w:r>
            <w:r>
              <w:rPr>
                <w:rFonts w:ascii="仿宋" w:hAnsi="仿宋" w:eastAsia="仿宋" w:cs="仿宋"/>
                <w:color w:val="000000"/>
                <w:kern w:val="0"/>
                <w:sz w:val="22"/>
                <w:szCs w:val="22"/>
              </w:rPr>
              <w:t xml:space="preserve">   </w:t>
            </w:r>
          </w:p>
          <w:p w14:paraId="556FB996">
            <w:pPr>
              <w:numPr>
                <w:ilvl w:val="0"/>
                <w:numId w:val="0"/>
              </w:numPr>
              <w:rPr>
                <w:rFonts w:ascii="Arial"/>
              </w:rPr>
            </w:pPr>
            <w:r>
              <w:rPr>
                <w:rFonts w:ascii="仿宋" w:hAnsi="仿宋" w:eastAsia="仿宋" w:cs="仿宋"/>
                <w:color w:val="000000"/>
                <w:kern w:val="0"/>
                <w:sz w:val="22"/>
                <w:szCs w:val="22"/>
              </w:rPr>
              <w:t xml:space="preserve"> </w:t>
            </w:r>
            <w:r>
              <w:rPr>
                <w:rFonts w:ascii="仿宋" w:hAnsi="仿宋" w:eastAsia="仿宋" w:cs="仿宋"/>
                <w:color w:val="auto"/>
                <w:kern w:val="0"/>
                <w:sz w:val="22"/>
                <w:szCs w:val="22"/>
              </w:rPr>
              <w:t>3</w:t>
            </w:r>
            <w:r>
              <w:rPr>
                <w:rFonts w:hint="eastAsia" w:ascii="仿宋" w:hAnsi="仿宋" w:eastAsia="仿宋" w:cs="仿宋"/>
                <w:color w:val="auto"/>
                <w:kern w:val="0"/>
                <w:sz w:val="22"/>
                <w:szCs w:val="22"/>
              </w:rPr>
              <w:t>、河南省人民防空办公室《关于印发</w:t>
            </w:r>
            <w:r>
              <w:rPr>
                <w:rFonts w:ascii="仿宋" w:hAnsi="仿宋" w:eastAsia="仿宋" w:cs="仿宋"/>
                <w:color w:val="auto"/>
                <w:kern w:val="0"/>
                <w:sz w:val="22"/>
                <w:szCs w:val="22"/>
              </w:rPr>
              <w:t>&lt;</w:t>
            </w:r>
            <w:r>
              <w:rPr>
                <w:rFonts w:hint="eastAsia" w:ascii="仿宋" w:hAnsi="仿宋" w:eastAsia="仿宋" w:cs="仿宋"/>
                <w:color w:val="auto"/>
                <w:kern w:val="0"/>
                <w:sz w:val="22"/>
                <w:szCs w:val="22"/>
              </w:rPr>
              <w:t>河南省人民防空工程竣工验收备案管理办法</w:t>
            </w:r>
            <w:r>
              <w:rPr>
                <w:rFonts w:ascii="仿宋" w:hAnsi="仿宋" w:eastAsia="仿宋" w:cs="仿宋"/>
                <w:color w:val="auto"/>
                <w:kern w:val="0"/>
                <w:sz w:val="22"/>
                <w:szCs w:val="22"/>
              </w:rPr>
              <w:t>&gt;</w:t>
            </w:r>
            <w:r>
              <w:rPr>
                <w:rFonts w:hint="eastAsia" w:ascii="仿宋" w:hAnsi="仿宋" w:eastAsia="仿宋" w:cs="仿宋"/>
                <w:color w:val="auto"/>
                <w:kern w:val="0"/>
                <w:sz w:val="22"/>
                <w:szCs w:val="22"/>
              </w:rPr>
              <w:t>的通知》（豫人防</w:t>
            </w:r>
            <w:r>
              <w:rPr>
                <w:rFonts w:ascii="仿宋" w:hAnsi="仿宋" w:eastAsia="仿宋" w:cs="仿宋"/>
                <w:color w:val="auto"/>
                <w:kern w:val="0"/>
                <w:sz w:val="22"/>
                <w:szCs w:val="22"/>
              </w:rPr>
              <w:t>[2019]75</w:t>
            </w:r>
            <w:r>
              <w:rPr>
                <w:rFonts w:hint="eastAsia" w:ascii="仿宋" w:hAnsi="仿宋" w:eastAsia="仿宋" w:cs="仿宋"/>
                <w:color w:val="auto"/>
                <w:kern w:val="0"/>
                <w:sz w:val="22"/>
                <w:szCs w:val="22"/>
              </w:rPr>
              <w:t>号）第三条：省人民防空主管部门负责全省人防工程竣工验收及备案管理工作。省人民防空工程定额与质量监督站受省人民防空主管部门委托实施由省级及其以上人民防空主管部门审批的人防工程建设项目的竣工验收及备案管理工作，指导各省辖市、济源示范区、省直管县（市），郑庄航空港经济综合实验区开展人防工程竣工验收及备案管理工作。各省辖市、经济示范区、省直管县（市）、郑郑州航空港经济综合实验区人民防空主管部门负责由其审批的人防工程建设项目的竣工验收及备案管理工作。</w:t>
            </w:r>
            <w:r>
              <w:rPr>
                <w:rFonts w:ascii="仿宋" w:hAnsi="仿宋" w:eastAsia="仿宋" w:cs="仿宋"/>
                <w:color w:val="000000"/>
                <w:kern w:val="0"/>
                <w:sz w:val="22"/>
                <w:szCs w:val="22"/>
              </w:rPr>
              <w:t xml:space="preserve">                                                                                  </w:t>
            </w:r>
          </w:p>
        </w:tc>
        <w:tc>
          <w:tcPr>
            <w:tcW w:w="630" w:type="dxa"/>
          </w:tcPr>
          <w:p w14:paraId="57FEED2D">
            <w:pPr>
              <w:bidi w:val="0"/>
              <w:rPr>
                <w:rFonts w:hint="eastAsia"/>
              </w:rPr>
            </w:pPr>
          </w:p>
          <w:p w14:paraId="147932A6">
            <w:pPr>
              <w:bidi w:val="0"/>
              <w:rPr>
                <w:rFonts w:hint="eastAsia"/>
              </w:rPr>
            </w:pPr>
          </w:p>
          <w:p w14:paraId="40359A48">
            <w:pPr>
              <w:bidi w:val="0"/>
              <w:rPr>
                <w:rFonts w:hint="eastAsia"/>
              </w:rPr>
            </w:pPr>
            <w:r>
              <w:rPr>
                <w:rFonts w:hint="eastAsia"/>
              </w:rPr>
              <w:t>其他职权</w:t>
            </w:r>
          </w:p>
        </w:tc>
        <w:tc>
          <w:tcPr>
            <w:tcW w:w="675" w:type="dxa"/>
          </w:tcPr>
          <w:p w14:paraId="3EA411FC">
            <w:pPr>
              <w:bidi w:val="0"/>
              <w:rPr>
                <w:rFonts w:hint="eastAsia"/>
              </w:rPr>
            </w:pPr>
            <w:r>
              <w:rPr>
                <w:rFonts w:hint="eastAsia"/>
              </w:rPr>
              <w:t>1.受理,2.审核，3.决定，4.送达，5.事后监管</w:t>
            </w:r>
          </w:p>
        </w:tc>
        <w:tc>
          <w:tcPr>
            <w:tcW w:w="4590" w:type="dxa"/>
          </w:tcPr>
          <w:p w14:paraId="3ABE489A">
            <w:pPr>
              <w:rPr>
                <w:rFonts w:hint="eastAsia" w:ascii="仿宋" w:hAnsi="仿宋" w:eastAsia="仿宋" w:cs="仿宋"/>
                <w:color w:val="000000"/>
                <w:kern w:val="0"/>
                <w:sz w:val="22"/>
                <w:szCs w:val="22"/>
              </w:rPr>
            </w:pPr>
            <w:r>
              <w:rPr>
                <w:sz w:val="24"/>
                <w:szCs w:val="24"/>
              </w:rPr>
              <w:t>1.</w:t>
            </w:r>
            <w:r>
              <w:rPr>
                <w:rFonts w:hint="eastAsia" w:ascii="仿宋" w:hAnsi="仿宋" w:eastAsia="仿宋" w:cs="仿宋"/>
                <w:color w:val="000000"/>
                <w:kern w:val="0"/>
                <w:sz w:val="22"/>
                <w:szCs w:val="22"/>
              </w:rPr>
              <w:t xml:space="preserve">决定；工作人员通过窗口或河南政务服务网接收申报材 </w:t>
            </w:r>
          </w:p>
          <w:p w14:paraId="2A0E7CA6">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料，所交材料不齐全或不符合法定要求的，签发《一 </w:t>
            </w:r>
          </w:p>
          <w:p w14:paraId="0FB1AAD2">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次性告知书》。如所交材料存在可以当场更正的错 </w:t>
            </w:r>
          </w:p>
          <w:p w14:paraId="2A4AC8F8">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误，申请人可当场更正。如所交材料齐全，应当场 </w:t>
            </w:r>
          </w:p>
          <w:p w14:paraId="42B584F1">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作出是否受理决定，并签发《受理通知书》或《不 </w:t>
            </w:r>
          </w:p>
          <w:p w14:paraId="2F656BA6">
            <w:pP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予受理通知书》。2.审核；在受理申报材料后，由办理科室对内容进行审查。如有必要，启动特殊环节进行辅助审查。3.决定；作出是否同意申请事项的决定。作出准予审批（办 理）决定的，签发审批办理结果；作出不予审批（办 理）决定的，签发《不予审批（办理）告知单》。4.送达；实施机关作出决定当日应通知申请人，及时向申请人颁发、送达审批服务事项办理结果。5.事后监督；对建设项目竣工验收人防核实认可工作进行监督检查。其他法律法规规章文件规定应履行的责任。</w:t>
            </w:r>
          </w:p>
          <w:p w14:paraId="6842C477">
            <w:pPr>
              <w:rPr>
                <w:rFonts w:ascii="Arial"/>
              </w:rPr>
            </w:pPr>
          </w:p>
        </w:tc>
        <w:tc>
          <w:tcPr>
            <w:tcW w:w="720" w:type="dxa"/>
          </w:tcPr>
          <w:p w14:paraId="43E2A9E4">
            <w:pPr>
              <w:rPr>
                <w:rFonts w:ascii="Arial"/>
              </w:rPr>
            </w:pPr>
          </w:p>
        </w:tc>
        <w:tc>
          <w:tcPr>
            <w:tcW w:w="1320" w:type="dxa"/>
          </w:tcPr>
          <w:p w14:paraId="2C2B221A">
            <w:pPr>
              <w:rPr>
                <w:sz w:val="28"/>
                <w:szCs w:val="28"/>
              </w:rPr>
            </w:pPr>
          </w:p>
          <w:p w14:paraId="3EA99FF8">
            <w:pPr>
              <w:rPr>
                <w:sz w:val="28"/>
                <w:szCs w:val="28"/>
              </w:rPr>
            </w:pPr>
          </w:p>
          <w:p w14:paraId="20F01FB2">
            <w:pPr>
              <w:rPr>
                <w:sz w:val="28"/>
                <w:szCs w:val="28"/>
              </w:rPr>
            </w:pPr>
          </w:p>
          <w:p w14:paraId="24F839BD">
            <w:pPr>
              <w:rPr>
                <w:sz w:val="28"/>
                <w:szCs w:val="28"/>
              </w:rPr>
            </w:pPr>
          </w:p>
          <w:p w14:paraId="3F216BA7">
            <w:pPr>
              <w:rPr>
                <w:sz w:val="28"/>
                <w:szCs w:val="28"/>
              </w:rPr>
            </w:pPr>
          </w:p>
          <w:p w14:paraId="64405F57">
            <w:pPr>
              <w:rPr>
                <w:sz w:val="28"/>
                <w:szCs w:val="28"/>
              </w:rPr>
            </w:pPr>
          </w:p>
          <w:p w14:paraId="0CD48B64">
            <w:pPr>
              <w:rPr>
                <w:sz w:val="28"/>
                <w:szCs w:val="28"/>
              </w:rPr>
            </w:pPr>
          </w:p>
          <w:p w14:paraId="09507E11">
            <w:pPr>
              <w:rPr>
                <w:sz w:val="28"/>
                <w:szCs w:val="28"/>
              </w:rPr>
            </w:pPr>
          </w:p>
          <w:p w14:paraId="03EFDFD9">
            <w:pPr>
              <w:rPr>
                <w:sz w:val="28"/>
                <w:szCs w:val="28"/>
              </w:rPr>
            </w:pPr>
          </w:p>
          <w:p w14:paraId="652A6F94">
            <w:pPr>
              <w:rPr>
                <w:sz w:val="28"/>
                <w:szCs w:val="28"/>
              </w:rPr>
            </w:pPr>
            <w:r>
              <w:rPr>
                <w:rFonts w:hint="eastAsia" w:cs="宋体"/>
                <w:sz w:val="28"/>
                <w:szCs w:val="28"/>
              </w:rPr>
              <w:t>人防中心</w:t>
            </w:r>
          </w:p>
          <w:p w14:paraId="609168D6">
            <w:pPr>
              <w:rPr>
                <w:rFonts w:ascii="Arial"/>
              </w:rPr>
            </w:pPr>
            <w:r>
              <w:rPr>
                <w:rFonts w:hint="eastAsia" w:cs="宋体"/>
                <w:sz w:val="28"/>
                <w:szCs w:val="28"/>
              </w:rPr>
              <w:t>工程股</w:t>
            </w:r>
          </w:p>
        </w:tc>
      </w:tr>
      <w:tr w14:paraId="69C0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5090" w:type="dxa"/>
            <w:gridSpan w:val="8"/>
          </w:tcPr>
          <w:p w14:paraId="484FF6F4">
            <w:pPr>
              <w:spacing w:line="248" w:lineRule="auto"/>
              <w:rPr>
                <w:rFonts w:ascii="Arial"/>
              </w:rPr>
            </w:pPr>
          </w:p>
          <w:p w14:paraId="0EEC6B28">
            <w:pPr>
              <w:spacing w:before="78" w:line="226" w:lineRule="auto"/>
              <w:ind w:left="5"/>
              <w:rPr>
                <w:rFonts w:ascii="宋体"/>
                <w:sz w:val="24"/>
                <w:szCs w:val="24"/>
              </w:rPr>
            </w:pPr>
            <w:r>
              <w:rPr>
                <w:rFonts w:hint="eastAsia" w:ascii="宋体" w:hAnsi="宋体" w:cs="宋体"/>
                <w:spacing w:val="7"/>
                <w:sz w:val="24"/>
                <w:szCs w:val="24"/>
              </w:rPr>
              <w:t>服务电话：</w:t>
            </w:r>
            <w:r>
              <w:rPr>
                <w:rFonts w:ascii="宋体" w:hAnsi="宋体" w:cs="宋体"/>
                <w:spacing w:val="10"/>
                <w:sz w:val="24"/>
                <w:szCs w:val="24"/>
              </w:rPr>
              <w:t xml:space="preserve"> </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0377-6</w:t>
            </w:r>
            <w:r>
              <w:rPr>
                <w:rFonts w:hint="eastAsia" w:ascii="仿宋_GB2312" w:hAnsi="仿宋_GB2312" w:eastAsia="仿宋_GB2312" w:cs="仿宋_GB2312"/>
                <w:sz w:val="24"/>
                <w:szCs w:val="24"/>
                <w:shd w:val="clear" w:color="070000" w:fill="FFFFFF"/>
                <w:lang w:val="en-US" w:eastAsia="zh-CN"/>
              </w:rPr>
              <w:t>6688388</w:t>
            </w:r>
            <w:r>
              <w:rPr>
                <w:rFonts w:ascii="仿宋_GB2312" w:hAnsi="仿宋_GB2312" w:eastAsia="仿宋_GB2312" w:cs="仿宋_GB2312"/>
                <w:sz w:val="24"/>
                <w:szCs w:val="24"/>
                <w:shd w:val="clear" w:color="070000" w:fill="FFFFFF"/>
              </w:rPr>
              <w:t xml:space="preserve">   </w:t>
            </w:r>
          </w:p>
        </w:tc>
      </w:tr>
      <w:tr w14:paraId="0C11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5090" w:type="dxa"/>
            <w:gridSpan w:val="8"/>
          </w:tcPr>
          <w:p w14:paraId="519763E7">
            <w:pPr>
              <w:spacing w:line="262" w:lineRule="auto"/>
              <w:rPr>
                <w:rFonts w:ascii="Arial"/>
              </w:rPr>
            </w:pPr>
          </w:p>
          <w:p w14:paraId="2810F094">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43F57ADA">
      <w:pPr>
        <w:rPr>
          <w:rFonts w:ascii="Arial"/>
        </w:rPr>
      </w:pPr>
    </w:p>
    <w:tbl>
      <w:tblPr>
        <w:tblStyle w:val="8"/>
        <w:tblW w:w="15105" w:type="dxa"/>
        <w:tblInd w:w="-8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1635"/>
        <w:gridCol w:w="3120"/>
        <w:gridCol w:w="885"/>
        <w:gridCol w:w="1395"/>
        <w:gridCol w:w="3591"/>
        <w:gridCol w:w="1712"/>
        <w:gridCol w:w="1957"/>
      </w:tblGrid>
      <w:tr w14:paraId="4EF8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10" w:type="dxa"/>
          </w:tcPr>
          <w:p w14:paraId="168249F6">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635" w:type="dxa"/>
          </w:tcPr>
          <w:p w14:paraId="3B1CA49A">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120" w:type="dxa"/>
          </w:tcPr>
          <w:p w14:paraId="47C684C4">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885" w:type="dxa"/>
          </w:tcPr>
          <w:p w14:paraId="513F4B09">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3DFD946F">
            <w:pPr>
              <w:spacing w:before="1" w:line="209" w:lineRule="auto"/>
              <w:ind w:left="287"/>
              <w:rPr>
                <w:rFonts w:ascii="宋体"/>
                <w:sz w:val="24"/>
                <w:szCs w:val="24"/>
              </w:rPr>
            </w:pPr>
            <w:r>
              <w:rPr>
                <w:rFonts w:hint="eastAsia" w:ascii="宋体" w:hAnsi="宋体" w:cs="宋体"/>
                <w:b/>
                <w:bCs/>
                <w:spacing w:val="3"/>
                <w:sz w:val="24"/>
                <w:szCs w:val="24"/>
              </w:rPr>
              <w:t>类别</w:t>
            </w:r>
          </w:p>
        </w:tc>
        <w:tc>
          <w:tcPr>
            <w:tcW w:w="1395" w:type="dxa"/>
          </w:tcPr>
          <w:p w14:paraId="044BF5A5">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591" w:type="dxa"/>
          </w:tcPr>
          <w:p w14:paraId="2B98D457">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712" w:type="dxa"/>
          </w:tcPr>
          <w:p w14:paraId="05B46537">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957" w:type="dxa"/>
          </w:tcPr>
          <w:p w14:paraId="1D9929E0">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479E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0" w:type="dxa"/>
          </w:tcPr>
          <w:p w14:paraId="2DD34C30">
            <w:pPr>
              <w:spacing w:before="78" w:line="184" w:lineRule="auto"/>
              <w:rPr>
                <w:rFonts w:hint="eastAsia" w:ascii="宋体" w:eastAsia="宋体"/>
                <w:sz w:val="24"/>
                <w:szCs w:val="24"/>
                <w:lang w:eastAsia="zh-CN"/>
              </w:rPr>
            </w:pPr>
            <w:r>
              <w:rPr>
                <w:rFonts w:ascii="宋体" w:hAnsi="宋体" w:cs="宋体"/>
                <w:sz w:val="24"/>
                <w:szCs w:val="24"/>
              </w:rPr>
              <w:t>1</w:t>
            </w:r>
            <w:r>
              <w:rPr>
                <w:rFonts w:hint="eastAsia" w:ascii="宋体" w:hAnsi="宋体" w:cs="宋体"/>
                <w:sz w:val="24"/>
                <w:szCs w:val="24"/>
                <w:lang w:val="en-US" w:eastAsia="zh-CN"/>
              </w:rPr>
              <w:t>8</w:t>
            </w:r>
          </w:p>
        </w:tc>
        <w:tc>
          <w:tcPr>
            <w:tcW w:w="1635" w:type="dxa"/>
          </w:tcPr>
          <w:p w14:paraId="714FA454">
            <w:pPr>
              <w:rPr>
                <w:rFonts w:ascii="仿宋_GB2312" w:hAnsi="宋体" w:eastAsia="仿宋_GB2312"/>
                <w:color w:val="000000"/>
                <w:kern w:val="0"/>
                <w:sz w:val="28"/>
                <w:szCs w:val="28"/>
              </w:rPr>
            </w:pPr>
          </w:p>
          <w:p w14:paraId="6835F2BD">
            <w:pPr>
              <w:rPr>
                <w:rFonts w:ascii="Arial"/>
              </w:rPr>
            </w:pPr>
            <w:r>
              <w:rPr>
                <w:rFonts w:hint="eastAsia" w:ascii="仿宋_GB2312" w:hAnsi="宋体" w:eastAsia="仿宋_GB2312" w:cs="仿宋_GB2312"/>
                <w:color w:val="000000"/>
                <w:kern w:val="0"/>
                <w:sz w:val="28"/>
                <w:szCs w:val="28"/>
              </w:rPr>
              <w:t>省级以下人民防空信息系统建设项目审批</w:t>
            </w:r>
          </w:p>
        </w:tc>
        <w:tc>
          <w:tcPr>
            <w:tcW w:w="3120" w:type="dxa"/>
          </w:tcPr>
          <w:p w14:paraId="252493D0">
            <w:pPr>
              <w:rPr>
                <w:rFonts w:ascii="仿宋" w:hAnsi="仿宋" w:eastAsia="仿宋"/>
                <w:color w:val="000000"/>
                <w:kern w:val="0"/>
                <w:sz w:val="22"/>
                <w:szCs w:val="22"/>
              </w:rPr>
            </w:pPr>
          </w:p>
          <w:p w14:paraId="2D2BB37D">
            <w:pPr>
              <w:rPr>
                <w:rFonts w:ascii="仿宋" w:hAnsi="仿宋" w:eastAsia="仿宋"/>
                <w:color w:val="000000"/>
                <w:kern w:val="0"/>
                <w:sz w:val="22"/>
                <w:szCs w:val="22"/>
              </w:rPr>
            </w:pPr>
          </w:p>
          <w:p w14:paraId="29A93E3E">
            <w:pPr>
              <w:rPr>
                <w:rFonts w:ascii="仿宋" w:hAnsi="仿宋" w:eastAsia="仿宋"/>
                <w:color w:val="000000"/>
                <w:kern w:val="0"/>
                <w:sz w:val="22"/>
                <w:szCs w:val="22"/>
              </w:rPr>
            </w:pPr>
          </w:p>
          <w:p w14:paraId="0BE13274">
            <w:pPr>
              <w:rPr>
                <w:rFonts w:ascii="仿宋" w:hAnsi="仿宋" w:eastAsia="仿宋"/>
                <w:color w:val="000000"/>
                <w:kern w:val="0"/>
                <w:sz w:val="22"/>
                <w:szCs w:val="22"/>
              </w:rPr>
            </w:pPr>
          </w:p>
          <w:p w14:paraId="4F03E771">
            <w:pPr>
              <w:rPr>
                <w:rFonts w:hint="eastAsia" w:ascii="Arial" w:eastAsia="仿宋"/>
                <w:lang w:val="en-US" w:eastAsia="zh-CN"/>
              </w:rPr>
            </w:pPr>
            <w:r>
              <w:rPr>
                <w:rFonts w:hint="eastAsia" w:ascii="仿宋" w:hAnsi="仿宋" w:eastAsia="仿宋" w:cs="仿宋"/>
                <w:color w:val="000000"/>
                <w:kern w:val="0"/>
                <w:sz w:val="22"/>
                <w:szCs w:val="22"/>
              </w:rPr>
              <w:t>《河南省实施＜中华人民共和国人民防空法＞办法》（</w:t>
            </w:r>
            <w:r>
              <w:rPr>
                <w:rFonts w:ascii="仿宋" w:hAnsi="仿宋" w:eastAsia="仿宋" w:cs="仿宋"/>
                <w:color w:val="000000"/>
                <w:kern w:val="0"/>
                <w:sz w:val="22"/>
                <w:szCs w:val="22"/>
              </w:rPr>
              <w:t>1998</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24</w:t>
            </w:r>
            <w:r>
              <w:rPr>
                <w:rFonts w:hint="eastAsia" w:ascii="仿宋" w:hAnsi="仿宋" w:eastAsia="仿宋" w:cs="仿宋"/>
                <w:color w:val="000000"/>
                <w:kern w:val="0"/>
                <w:sz w:val="22"/>
                <w:szCs w:val="22"/>
              </w:rPr>
              <w:t>日河南省第九届人民代表大会常务委员会第四次会议通过）第十九条：县级以上人民政府应当组织人民防空通信、警报建设规划的实施，邮电通信部门应当优先提供防空警报所需的有线控制电路，并确保畅通；人民防空通信网和警报网所需通信线路，邮电通信部门应当根据其性质、用途，按国家和省有关规定，合理收费，并予以优先提供。</w:t>
            </w:r>
            <w:r>
              <w:rPr>
                <w:rFonts w:hint="eastAsia" w:ascii="仿宋" w:hAnsi="仿宋" w:eastAsia="仿宋" w:cs="仿宋"/>
                <w:color w:val="000000"/>
                <w:kern w:val="0"/>
                <w:sz w:val="22"/>
                <w:szCs w:val="22"/>
                <w:lang w:val="en-US" w:eastAsia="zh-CN"/>
              </w:rPr>
              <w:t xml:space="preserve"> </w:t>
            </w:r>
          </w:p>
        </w:tc>
        <w:tc>
          <w:tcPr>
            <w:tcW w:w="885" w:type="dxa"/>
          </w:tcPr>
          <w:p w14:paraId="0049605A">
            <w:pPr>
              <w:rPr>
                <w:rFonts w:ascii="仿宋" w:hAnsi="仿宋" w:eastAsia="仿宋"/>
                <w:color w:val="000000"/>
                <w:kern w:val="0"/>
                <w:sz w:val="30"/>
                <w:szCs w:val="30"/>
              </w:rPr>
            </w:pPr>
          </w:p>
          <w:p w14:paraId="48B1A0CB">
            <w:pPr>
              <w:rPr>
                <w:rFonts w:ascii="仿宋" w:hAnsi="仿宋" w:eastAsia="仿宋"/>
                <w:color w:val="000000"/>
                <w:kern w:val="0"/>
                <w:sz w:val="30"/>
                <w:szCs w:val="30"/>
              </w:rPr>
            </w:pPr>
          </w:p>
          <w:p w14:paraId="55100827">
            <w:pPr>
              <w:rPr>
                <w:rFonts w:ascii="仿宋" w:hAnsi="仿宋" w:eastAsia="仿宋"/>
                <w:color w:val="000000"/>
                <w:kern w:val="0"/>
                <w:sz w:val="30"/>
                <w:szCs w:val="30"/>
              </w:rPr>
            </w:pPr>
          </w:p>
          <w:p w14:paraId="190B635F">
            <w:pPr>
              <w:rPr>
                <w:rFonts w:ascii="仿宋" w:hAnsi="仿宋" w:eastAsia="仿宋"/>
                <w:color w:val="000000"/>
                <w:kern w:val="0"/>
                <w:sz w:val="30"/>
                <w:szCs w:val="30"/>
              </w:rPr>
            </w:pPr>
          </w:p>
          <w:p w14:paraId="286AF376">
            <w:pPr>
              <w:rPr>
                <w:rFonts w:ascii="仿宋" w:hAnsi="仿宋" w:eastAsia="仿宋"/>
                <w:color w:val="000000"/>
                <w:kern w:val="0"/>
                <w:sz w:val="30"/>
                <w:szCs w:val="30"/>
              </w:rPr>
            </w:pPr>
          </w:p>
          <w:p w14:paraId="13673253">
            <w:pPr>
              <w:rPr>
                <w:rFonts w:ascii="仿宋" w:hAnsi="仿宋" w:eastAsia="仿宋"/>
                <w:color w:val="000000"/>
                <w:kern w:val="0"/>
                <w:sz w:val="30"/>
                <w:szCs w:val="30"/>
              </w:rPr>
            </w:pPr>
          </w:p>
          <w:p w14:paraId="1C77ED2A">
            <w:pPr>
              <w:rPr>
                <w:rFonts w:ascii="仿宋" w:hAnsi="仿宋" w:eastAsia="仿宋"/>
                <w:color w:val="000000"/>
                <w:kern w:val="0"/>
                <w:sz w:val="30"/>
                <w:szCs w:val="30"/>
              </w:rPr>
            </w:pPr>
          </w:p>
          <w:p w14:paraId="18FFC170">
            <w:pPr>
              <w:rPr>
                <w:rFonts w:ascii="Arial"/>
              </w:rPr>
            </w:pPr>
            <w:r>
              <w:rPr>
                <w:rFonts w:hint="eastAsia" w:ascii="仿宋" w:hAnsi="仿宋" w:eastAsia="仿宋" w:cs="仿宋"/>
                <w:color w:val="000000"/>
                <w:kern w:val="0"/>
                <w:sz w:val="30"/>
                <w:szCs w:val="30"/>
              </w:rPr>
              <w:t>其他职权</w:t>
            </w:r>
          </w:p>
        </w:tc>
        <w:tc>
          <w:tcPr>
            <w:tcW w:w="1395" w:type="dxa"/>
          </w:tcPr>
          <w:p w14:paraId="03072FED">
            <w:pPr>
              <w:rPr>
                <w:rFonts w:ascii="宋体"/>
                <w:sz w:val="30"/>
                <w:szCs w:val="30"/>
              </w:rPr>
            </w:pPr>
          </w:p>
          <w:p w14:paraId="6B498FDF">
            <w:pPr>
              <w:rPr>
                <w:rFonts w:ascii="宋体"/>
                <w:sz w:val="30"/>
                <w:szCs w:val="30"/>
              </w:rPr>
            </w:pPr>
          </w:p>
          <w:p w14:paraId="139DA283">
            <w:pPr>
              <w:rPr>
                <w:rFonts w:ascii="宋体"/>
                <w:sz w:val="30"/>
                <w:szCs w:val="30"/>
              </w:rPr>
            </w:pPr>
          </w:p>
          <w:p w14:paraId="55CB9EB5">
            <w:pPr>
              <w:rPr>
                <w:rFonts w:ascii="宋体"/>
                <w:sz w:val="30"/>
                <w:szCs w:val="30"/>
              </w:rPr>
            </w:pPr>
          </w:p>
          <w:p w14:paraId="667D5D84">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91" w:type="dxa"/>
          </w:tcPr>
          <w:p w14:paraId="4545A110">
            <w:pPr>
              <w:widowControl/>
              <w:jc w:val="left"/>
              <w:rPr>
                <w:sz w:val="24"/>
                <w:szCs w:val="24"/>
              </w:rPr>
            </w:pPr>
            <w:r>
              <w:rPr>
                <w:sz w:val="24"/>
                <w:szCs w:val="24"/>
              </w:rPr>
              <w:t>1.</w:t>
            </w:r>
            <w:r>
              <w:rPr>
                <w:rFonts w:hint="eastAsia" w:cs="宋体"/>
                <w:sz w:val="24"/>
                <w:szCs w:val="24"/>
              </w:rPr>
              <w:t>受理；</w:t>
            </w:r>
            <w:r>
              <w:rPr>
                <w:rFonts w:hint="eastAsia" w:ascii="仿宋_GB2312" w:hAnsi="仿宋_GB2312" w:eastAsia="仿宋_GB2312" w:cs="仿宋_GB2312"/>
                <w:color w:val="000000"/>
                <w:kern w:val="0"/>
                <w:sz w:val="24"/>
                <w:szCs w:val="24"/>
              </w:rPr>
              <w:t>工作人员接收申报材料，所交材料不齐全或不符合</w:t>
            </w:r>
            <w:r>
              <w:rPr>
                <w:rFonts w:ascii="仿宋_GB2312" w:hAnsi="仿宋_GB2312" w:eastAsia="仿宋_GB2312" w:cs="仿宋_GB2312"/>
                <w:color w:val="000000"/>
                <w:kern w:val="0"/>
                <w:sz w:val="24"/>
                <w:szCs w:val="24"/>
              </w:rPr>
              <w:t xml:space="preserve"> </w:t>
            </w:r>
          </w:p>
          <w:p w14:paraId="6B6B3820">
            <w:pPr>
              <w:widowControl/>
              <w:jc w:val="left"/>
              <w:rPr>
                <w:sz w:val="24"/>
                <w:szCs w:val="24"/>
              </w:rPr>
            </w:pPr>
            <w:r>
              <w:rPr>
                <w:rFonts w:hint="eastAsia" w:ascii="仿宋_GB2312" w:hAnsi="仿宋_GB2312" w:eastAsia="仿宋_GB2312" w:cs="仿宋_GB2312"/>
                <w:color w:val="000000"/>
                <w:kern w:val="0"/>
                <w:sz w:val="24"/>
                <w:szCs w:val="24"/>
              </w:rPr>
              <w:t>法定要求的，签发《一次性告知书》。如所交材料</w:t>
            </w:r>
            <w:r>
              <w:rPr>
                <w:rFonts w:ascii="仿宋_GB2312" w:hAnsi="仿宋_GB2312" w:eastAsia="仿宋_GB2312" w:cs="仿宋_GB2312"/>
                <w:color w:val="000000"/>
                <w:kern w:val="0"/>
                <w:sz w:val="24"/>
                <w:szCs w:val="24"/>
              </w:rPr>
              <w:t xml:space="preserve"> </w:t>
            </w:r>
          </w:p>
          <w:p w14:paraId="275013D7">
            <w:pPr>
              <w:widowControl/>
              <w:jc w:val="left"/>
              <w:rPr>
                <w:sz w:val="24"/>
                <w:szCs w:val="24"/>
              </w:rPr>
            </w:pPr>
            <w:r>
              <w:rPr>
                <w:rFonts w:hint="eastAsia" w:ascii="仿宋_GB2312" w:hAnsi="仿宋_GB2312" w:eastAsia="仿宋_GB2312" w:cs="仿宋_GB2312"/>
                <w:color w:val="000000"/>
                <w:kern w:val="0"/>
                <w:sz w:val="24"/>
                <w:szCs w:val="24"/>
              </w:rPr>
              <w:t>存在可以当场更正的错误，申请人可当场更正。如</w:t>
            </w:r>
            <w:r>
              <w:rPr>
                <w:rFonts w:ascii="仿宋_GB2312" w:hAnsi="仿宋_GB2312" w:eastAsia="仿宋_GB2312" w:cs="仿宋_GB2312"/>
                <w:color w:val="000000"/>
                <w:kern w:val="0"/>
                <w:sz w:val="24"/>
                <w:szCs w:val="24"/>
              </w:rPr>
              <w:t xml:space="preserve"> </w:t>
            </w:r>
          </w:p>
          <w:p w14:paraId="214FDAC4">
            <w:pPr>
              <w:widowControl/>
              <w:jc w:val="left"/>
              <w:rPr>
                <w:sz w:val="24"/>
                <w:szCs w:val="24"/>
              </w:rPr>
            </w:pPr>
            <w:r>
              <w:rPr>
                <w:rFonts w:hint="eastAsia" w:ascii="仿宋_GB2312" w:hAnsi="仿宋_GB2312" w:eastAsia="仿宋_GB2312" w:cs="仿宋_GB2312"/>
                <w:color w:val="000000"/>
                <w:kern w:val="0"/>
                <w:sz w:val="24"/>
                <w:szCs w:val="24"/>
              </w:rPr>
              <w:t>所交材料齐全，应当场作出是否受理决定，并签发</w:t>
            </w:r>
            <w:r>
              <w:rPr>
                <w:rFonts w:ascii="仿宋_GB2312" w:hAnsi="仿宋_GB2312" w:eastAsia="仿宋_GB2312" w:cs="仿宋_GB2312"/>
                <w:color w:val="000000"/>
                <w:kern w:val="0"/>
                <w:sz w:val="24"/>
                <w:szCs w:val="24"/>
              </w:rPr>
              <w:t xml:space="preserve"> </w:t>
            </w:r>
          </w:p>
          <w:p w14:paraId="599B8944">
            <w:pPr>
              <w:widowControl/>
              <w:jc w:val="left"/>
              <w:rPr>
                <w:sz w:val="24"/>
                <w:szCs w:val="24"/>
              </w:rPr>
            </w:pPr>
            <w:r>
              <w:rPr>
                <w:rFonts w:hint="eastAsia" w:ascii="仿宋_GB2312" w:hAnsi="仿宋_GB2312" w:eastAsia="仿宋_GB2312" w:cs="仿宋_GB2312"/>
                <w:color w:val="000000"/>
                <w:kern w:val="0"/>
                <w:sz w:val="24"/>
                <w:szCs w:val="24"/>
              </w:rPr>
              <w:t>《受理通知书》或《不予受理通知书》。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审核；在受理申报材料后，由办理科室对内容进行审查。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如有必要，启动特殊环节进行辅助审查。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作出是否同意申请事项的决定。作出准予审批（办</w:t>
            </w:r>
            <w:r>
              <w:rPr>
                <w:rFonts w:ascii="仿宋_GB2312" w:hAnsi="仿宋_GB2312" w:eastAsia="仿宋_GB2312" w:cs="仿宋_GB2312"/>
                <w:color w:val="000000"/>
                <w:kern w:val="0"/>
                <w:sz w:val="24"/>
                <w:szCs w:val="24"/>
              </w:rPr>
              <w:t xml:space="preserve"> </w:t>
            </w:r>
          </w:p>
          <w:p w14:paraId="5005B0D8">
            <w:pPr>
              <w:widowControl/>
              <w:jc w:val="left"/>
              <w:rPr>
                <w:sz w:val="24"/>
                <w:szCs w:val="24"/>
              </w:rPr>
            </w:pPr>
            <w:r>
              <w:rPr>
                <w:rFonts w:hint="eastAsia" w:ascii="仿宋_GB2312" w:hAnsi="仿宋_GB2312" w:eastAsia="仿宋_GB2312" w:cs="仿宋_GB2312"/>
                <w:color w:val="000000"/>
                <w:kern w:val="0"/>
                <w:sz w:val="24"/>
                <w:szCs w:val="24"/>
              </w:rPr>
              <w:t>理）决定的，签发审批办理结果；作出不予审批（办理）决定的，签发《不予审批（办理）告知单》。</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送达；实施机关作出决定当日应通知申请人，及时向申请人颁发、送达审批服务事项办理结果。</w:t>
            </w: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对省级以下人民防空信息系统建设项目审批工作进行监督检查。其他法律法规规章文件规定应履行的责任。</w:t>
            </w:r>
          </w:p>
          <w:p w14:paraId="658103AD">
            <w:pPr>
              <w:rPr>
                <w:rFonts w:ascii="Arial"/>
              </w:rPr>
            </w:pPr>
          </w:p>
        </w:tc>
        <w:tc>
          <w:tcPr>
            <w:tcW w:w="1712" w:type="dxa"/>
          </w:tcPr>
          <w:p w14:paraId="12D84981">
            <w:pPr>
              <w:rPr>
                <w:rFonts w:ascii="Arial"/>
                <w:sz w:val="28"/>
                <w:szCs w:val="28"/>
              </w:rPr>
            </w:pPr>
          </w:p>
        </w:tc>
        <w:tc>
          <w:tcPr>
            <w:tcW w:w="1957" w:type="dxa"/>
          </w:tcPr>
          <w:p w14:paraId="21566BD3">
            <w:pPr>
              <w:rPr>
                <w:sz w:val="28"/>
                <w:szCs w:val="28"/>
              </w:rPr>
            </w:pPr>
          </w:p>
          <w:p w14:paraId="6D69CBE3">
            <w:pPr>
              <w:rPr>
                <w:sz w:val="28"/>
                <w:szCs w:val="28"/>
              </w:rPr>
            </w:pPr>
          </w:p>
          <w:p w14:paraId="7690588D">
            <w:pPr>
              <w:rPr>
                <w:sz w:val="28"/>
                <w:szCs w:val="28"/>
              </w:rPr>
            </w:pPr>
          </w:p>
          <w:p w14:paraId="14B58D7E">
            <w:pPr>
              <w:rPr>
                <w:sz w:val="28"/>
                <w:szCs w:val="28"/>
              </w:rPr>
            </w:pPr>
          </w:p>
          <w:p w14:paraId="483722BE">
            <w:pPr>
              <w:rPr>
                <w:sz w:val="28"/>
                <w:szCs w:val="28"/>
              </w:rPr>
            </w:pPr>
          </w:p>
          <w:p w14:paraId="4B7982E0">
            <w:pPr>
              <w:rPr>
                <w:sz w:val="28"/>
                <w:szCs w:val="28"/>
              </w:rPr>
            </w:pPr>
          </w:p>
          <w:p w14:paraId="2E6FB6FB">
            <w:pPr>
              <w:rPr>
                <w:sz w:val="28"/>
                <w:szCs w:val="28"/>
              </w:rPr>
            </w:pPr>
          </w:p>
          <w:p w14:paraId="493C4AEE">
            <w:pPr>
              <w:rPr>
                <w:sz w:val="28"/>
                <w:szCs w:val="28"/>
              </w:rPr>
            </w:pPr>
          </w:p>
          <w:p w14:paraId="4849A8F2">
            <w:pPr>
              <w:rPr>
                <w:sz w:val="28"/>
                <w:szCs w:val="28"/>
              </w:rPr>
            </w:pPr>
          </w:p>
          <w:p w14:paraId="1ED93EFE">
            <w:pPr>
              <w:rPr>
                <w:sz w:val="28"/>
                <w:szCs w:val="28"/>
              </w:rPr>
            </w:pPr>
          </w:p>
          <w:p w14:paraId="76356073">
            <w:pPr>
              <w:rPr>
                <w:sz w:val="28"/>
                <w:szCs w:val="28"/>
              </w:rPr>
            </w:pPr>
          </w:p>
          <w:p w14:paraId="42886D60">
            <w:pPr>
              <w:rPr>
                <w:sz w:val="28"/>
                <w:szCs w:val="28"/>
              </w:rPr>
            </w:pPr>
            <w:r>
              <w:rPr>
                <w:rFonts w:hint="eastAsia" w:cs="宋体"/>
                <w:sz w:val="28"/>
                <w:szCs w:val="28"/>
              </w:rPr>
              <w:t>人防中心</w:t>
            </w:r>
          </w:p>
          <w:p w14:paraId="1C892B6C">
            <w:pPr>
              <w:rPr>
                <w:rFonts w:ascii="Arial"/>
                <w:sz w:val="28"/>
                <w:szCs w:val="28"/>
              </w:rPr>
            </w:pPr>
            <w:r>
              <w:rPr>
                <w:rFonts w:hint="eastAsia" w:cs="宋体"/>
                <w:sz w:val="28"/>
                <w:szCs w:val="28"/>
              </w:rPr>
              <w:t>工程股</w:t>
            </w:r>
          </w:p>
        </w:tc>
      </w:tr>
      <w:tr w14:paraId="1FD4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105" w:type="dxa"/>
            <w:gridSpan w:val="8"/>
          </w:tcPr>
          <w:p w14:paraId="55EDB1E1">
            <w:pPr>
              <w:spacing w:line="248" w:lineRule="auto"/>
              <w:rPr>
                <w:rFonts w:ascii="Arial"/>
              </w:rPr>
            </w:pPr>
          </w:p>
          <w:p w14:paraId="72FF2312">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168E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5105" w:type="dxa"/>
            <w:gridSpan w:val="8"/>
          </w:tcPr>
          <w:p w14:paraId="79766F6E">
            <w:pPr>
              <w:spacing w:line="262" w:lineRule="auto"/>
              <w:rPr>
                <w:rFonts w:ascii="Arial"/>
              </w:rPr>
            </w:pPr>
          </w:p>
          <w:p w14:paraId="65123426">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p w14:paraId="212BE2FD">
      <w:pPr>
        <w:rPr>
          <w:rFonts w:ascii="Arial"/>
        </w:rPr>
      </w:pPr>
    </w:p>
    <w:tbl>
      <w:tblPr>
        <w:tblStyle w:val="8"/>
        <w:tblpPr w:leftFromText="180" w:rightFromText="180" w:vertAnchor="text" w:horzAnchor="page" w:tblpX="704" w:tblpY="26"/>
        <w:tblOverlap w:val="never"/>
        <w:tblW w:w="15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830"/>
        <w:gridCol w:w="3450"/>
        <w:gridCol w:w="900"/>
        <w:gridCol w:w="1395"/>
        <w:gridCol w:w="3984"/>
        <w:gridCol w:w="1639"/>
        <w:gridCol w:w="1673"/>
      </w:tblGrid>
      <w:tr w14:paraId="276B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05" w:type="dxa"/>
          </w:tcPr>
          <w:p w14:paraId="3E42D7B5">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30" w:type="dxa"/>
          </w:tcPr>
          <w:p w14:paraId="4461E0A2">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450" w:type="dxa"/>
          </w:tcPr>
          <w:p w14:paraId="1009A59E">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900" w:type="dxa"/>
          </w:tcPr>
          <w:p w14:paraId="20C2CE11">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2EEF8442">
            <w:pPr>
              <w:spacing w:before="1" w:line="209" w:lineRule="auto"/>
              <w:ind w:left="287"/>
              <w:rPr>
                <w:rFonts w:ascii="宋体"/>
                <w:sz w:val="24"/>
                <w:szCs w:val="24"/>
              </w:rPr>
            </w:pPr>
            <w:r>
              <w:rPr>
                <w:rFonts w:hint="eastAsia" w:ascii="宋体" w:hAnsi="宋体" w:cs="宋体"/>
                <w:b/>
                <w:bCs/>
                <w:spacing w:val="3"/>
                <w:sz w:val="24"/>
                <w:szCs w:val="24"/>
              </w:rPr>
              <w:t>类别</w:t>
            </w:r>
          </w:p>
        </w:tc>
        <w:tc>
          <w:tcPr>
            <w:tcW w:w="1395" w:type="dxa"/>
          </w:tcPr>
          <w:p w14:paraId="3AB09858">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984" w:type="dxa"/>
          </w:tcPr>
          <w:p w14:paraId="5F75D661">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39" w:type="dxa"/>
          </w:tcPr>
          <w:p w14:paraId="6B8EB26C">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73" w:type="dxa"/>
          </w:tcPr>
          <w:p w14:paraId="4EEF430D">
            <w:pPr>
              <w:spacing w:before="199" w:line="219" w:lineRule="auto"/>
              <w:ind w:left="352"/>
              <w:rPr>
                <w:rFonts w:ascii="宋体"/>
                <w:sz w:val="24"/>
                <w:szCs w:val="24"/>
              </w:rPr>
            </w:pPr>
            <w:r>
              <w:rPr>
                <w:rFonts w:hint="eastAsia" w:ascii="宋体" w:hAnsi="宋体" w:cs="宋体"/>
                <w:b/>
                <w:bCs/>
                <w:spacing w:val="-2"/>
                <w:sz w:val="24"/>
                <w:szCs w:val="24"/>
              </w:rPr>
              <w:t>责任科室</w:t>
            </w:r>
          </w:p>
        </w:tc>
      </w:tr>
      <w:tr w14:paraId="3726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2" w:hRule="atLeast"/>
        </w:trPr>
        <w:tc>
          <w:tcPr>
            <w:tcW w:w="705" w:type="dxa"/>
          </w:tcPr>
          <w:p w14:paraId="7451CD45">
            <w:pPr>
              <w:spacing w:line="260" w:lineRule="auto"/>
              <w:rPr>
                <w:rFonts w:ascii="Arial"/>
              </w:rPr>
            </w:pPr>
          </w:p>
          <w:p w14:paraId="70E57217">
            <w:pPr>
              <w:spacing w:line="260" w:lineRule="auto"/>
              <w:rPr>
                <w:rFonts w:ascii="Arial"/>
              </w:rPr>
            </w:pPr>
          </w:p>
          <w:p w14:paraId="40095E97">
            <w:pPr>
              <w:spacing w:line="260" w:lineRule="auto"/>
              <w:rPr>
                <w:rFonts w:ascii="Arial"/>
              </w:rPr>
            </w:pPr>
          </w:p>
          <w:p w14:paraId="23283CCE">
            <w:pPr>
              <w:spacing w:line="260" w:lineRule="auto"/>
              <w:rPr>
                <w:rFonts w:ascii="Arial"/>
              </w:rPr>
            </w:pPr>
          </w:p>
          <w:p w14:paraId="4E93D238">
            <w:pPr>
              <w:spacing w:line="260" w:lineRule="auto"/>
              <w:rPr>
                <w:rFonts w:ascii="Arial"/>
              </w:rPr>
            </w:pPr>
          </w:p>
          <w:p w14:paraId="42FDE147">
            <w:pPr>
              <w:spacing w:line="261" w:lineRule="auto"/>
              <w:rPr>
                <w:rFonts w:ascii="Arial"/>
              </w:rPr>
            </w:pPr>
          </w:p>
          <w:p w14:paraId="407DB54F">
            <w:pPr>
              <w:spacing w:line="261" w:lineRule="auto"/>
              <w:rPr>
                <w:rFonts w:ascii="Arial"/>
              </w:rPr>
            </w:pPr>
          </w:p>
          <w:p w14:paraId="633F20E6">
            <w:pPr>
              <w:spacing w:before="78" w:line="184" w:lineRule="auto"/>
              <w:ind w:left="504"/>
              <w:rPr>
                <w:rFonts w:ascii="宋体"/>
                <w:sz w:val="24"/>
                <w:szCs w:val="24"/>
              </w:rPr>
            </w:pPr>
          </w:p>
          <w:p w14:paraId="2F656781">
            <w:pPr>
              <w:spacing w:before="78" w:line="184" w:lineRule="auto"/>
              <w:ind w:left="504"/>
              <w:rPr>
                <w:rFonts w:ascii="宋体"/>
                <w:sz w:val="24"/>
                <w:szCs w:val="24"/>
              </w:rPr>
            </w:pPr>
          </w:p>
          <w:p w14:paraId="3FB37894">
            <w:pPr>
              <w:spacing w:before="78" w:line="184" w:lineRule="auto"/>
              <w:ind w:left="504"/>
              <w:rPr>
                <w:rFonts w:ascii="宋体"/>
                <w:sz w:val="24"/>
                <w:szCs w:val="24"/>
              </w:rPr>
            </w:pPr>
          </w:p>
          <w:p w14:paraId="778FE88F">
            <w:pPr>
              <w:spacing w:before="78" w:line="184" w:lineRule="auto"/>
              <w:ind w:left="504"/>
              <w:rPr>
                <w:rFonts w:ascii="宋体"/>
                <w:sz w:val="24"/>
                <w:szCs w:val="24"/>
              </w:rPr>
            </w:pPr>
          </w:p>
          <w:p w14:paraId="4933BBD1">
            <w:pPr>
              <w:spacing w:before="78" w:line="184" w:lineRule="auto"/>
              <w:ind w:left="504"/>
              <w:rPr>
                <w:rFonts w:ascii="宋体"/>
                <w:sz w:val="24"/>
                <w:szCs w:val="24"/>
              </w:rPr>
            </w:pPr>
          </w:p>
          <w:p w14:paraId="3D8386AF">
            <w:pPr>
              <w:spacing w:before="78" w:line="184" w:lineRule="auto"/>
              <w:ind w:left="504"/>
              <w:rPr>
                <w:rFonts w:ascii="宋体"/>
                <w:sz w:val="24"/>
                <w:szCs w:val="24"/>
              </w:rPr>
            </w:pPr>
          </w:p>
          <w:p w14:paraId="41E44E76">
            <w:pPr>
              <w:spacing w:before="78" w:line="184" w:lineRule="auto"/>
              <w:rPr>
                <w:rFonts w:hint="default" w:ascii="宋体" w:eastAsia="宋体"/>
                <w:sz w:val="24"/>
                <w:szCs w:val="24"/>
                <w:lang w:val="en-US" w:eastAsia="zh-CN"/>
              </w:rPr>
            </w:pPr>
            <w:r>
              <w:rPr>
                <w:rFonts w:hint="eastAsia" w:ascii="宋体" w:hAnsi="宋体" w:cs="宋体"/>
                <w:sz w:val="24"/>
                <w:szCs w:val="24"/>
                <w:lang w:val="en-US" w:eastAsia="zh-CN"/>
              </w:rPr>
              <w:t>19</w:t>
            </w:r>
          </w:p>
        </w:tc>
        <w:tc>
          <w:tcPr>
            <w:tcW w:w="1830" w:type="dxa"/>
          </w:tcPr>
          <w:p w14:paraId="4C4792C8">
            <w:pPr>
              <w:rPr>
                <w:rFonts w:ascii="Arial"/>
              </w:rPr>
            </w:pPr>
            <w:r>
              <w:rPr>
                <w:rFonts w:hint="eastAsia" w:ascii="仿宋" w:hAnsi="仿宋" w:eastAsia="仿宋" w:cs="仿宋"/>
                <w:color w:val="000000"/>
                <w:kern w:val="0"/>
                <w:sz w:val="28"/>
                <w:szCs w:val="28"/>
              </w:rPr>
              <w:t>人民防空疏散避难训练场所、应急救援指挥中心建设项目审批（省级人民防空疏散避难训练场所、应急救援指挥中心建设项目除外）</w:t>
            </w:r>
          </w:p>
        </w:tc>
        <w:tc>
          <w:tcPr>
            <w:tcW w:w="3450" w:type="dxa"/>
          </w:tcPr>
          <w:p w14:paraId="1A82E438">
            <w:pPr>
              <w:rPr>
                <w:rFonts w:ascii="仿宋" w:hAnsi="仿宋" w:eastAsia="仿宋"/>
                <w:color w:val="000000"/>
                <w:kern w:val="0"/>
                <w:sz w:val="22"/>
                <w:szCs w:val="22"/>
              </w:rPr>
            </w:pPr>
          </w:p>
          <w:p w14:paraId="083C2E03">
            <w:pPr>
              <w:rPr>
                <w:rFonts w:ascii="仿宋" w:hAnsi="仿宋" w:eastAsia="仿宋"/>
                <w:color w:val="000000"/>
                <w:kern w:val="0"/>
                <w:sz w:val="22"/>
                <w:szCs w:val="22"/>
              </w:rPr>
            </w:pPr>
          </w:p>
          <w:p w14:paraId="4B4F73D9">
            <w:pPr>
              <w:rPr>
                <w:rFonts w:ascii="Arial"/>
              </w:rPr>
            </w:pPr>
            <w:r>
              <w:rPr>
                <w:rFonts w:hint="eastAsia" w:ascii="仿宋" w:hAnsi="仿宋" w:eastAsia="仿宋" w:cs="仿宋"/>
                <w:color w:val="000000"/>
                <w:kern w:val="0"/>
                <w:sz w:val="22"/>
                <w:szCs w:val="22"/>
              </w:rPr>
              <w:t>《河南省实施＜中华人民共和国人民防空法＞办法》（</w:t>
            </w:r>
            <w:r>
              <w:rPr>
                <w:rFonts w:ascii="仿宋" w:hAnsi="仿宋" w:eastAsia="仿宋" w:cs="仿宋"/>
                <w:color w:val="000000"/>
                <w:kern w:val="0"/>
                <w:sz w:val="22"/>
                <w:szCs w:val="22"/>
              </w:rPr>
              <w:t>1998</w:t>
            </w:r>
            <w:r>
              <w:rPr>
                <w:rFonts w:hint="eastAsia" w:ascii="仿宋" w:hAnsi="仿宋" w:eastAsia="仿宋" w:cs="仿宋"/>
                <w:color w:val="000000"/>
                <w:kern w:val="0"/>
                <w:sz w:val="22"/>
                <w:szCs w:val="22"/>
              </w:rPr>
              <w:t>年</w:t>
            </w:r>
            <w:r>
              <w:rPr>
                <w:rFonts w:ascii="仿宋" w:hAnsi="仿宋" w:eastAsia="仿宋" w:cs="仿宋"/>
                <w:color w:val="000000"/>
                <w:kern w:val="0"/>
                <w:sz w:val="22"/>
                <w:szCs w:val="22"/>
              </w:rPr>
              <w:t>7</w:t>
            </w:r>
            <w:r>
              <w:rPr>
                <w:rFonts w:hint="eastAsia" w:ascii="仿宋" w:hAnsi="仿宋" w:eastAsia="仿宋" w:cs="仿宋"/>
                <w:color w:val="000000"/>
                <w:kern w:val="0"/>
                <w:sz w:val="22"/>
                <w:szCs w:val="22"/>
              </w:rPr>
              <w:t>月</w:t>
            </w:r>
            <w:r>
              <w:rPr>
                <w:rFonts w:ascii="仿宋" w:hAnsi="仿宋" w:eastAsia="仿宋" w:cs="仿宋"/>
                <w:color w:val="000000"/>
                <w:kern w:val="0"/>
                <w:sz w:val="22"/>
                <w:szCs w:val="22"/>
              </w:rPr>
              <w:t>24</w:t>
            </w:r>
            <w:r>
              <w:rPr>
                <w:rFonts w:hint="eastAsia" w:ascii="仿宋" w:hAnsi="仿宋" w:eastAsia="仿宋" w:cs="仿宋"/>
                <w:color w:val="000000"/>
                <w:kern w:val="0"/>
                <w:sz w:val="22"/>
                <w:szCs w:val="22"/>
              </w:rPr>
              <w:t>日河南省第九届人民代表大会常务委员会第四次会议通过）第十一条为保障战时人员掩蔽、疏散和人民防空指挥而单独修建的人民防空工程属于国防基础设施，由县级以上人民防空主管部门按照城市规划和国家有关规定负责立项审批、设计审查、施工管理和竣工验收；其所需的建设用地依法予以保障</w:t>
            </w:r>
          </w:p>
        </w:tc>
        <w:tc>
          <w:tcPr>
            <w:tcW w:w="900" w:type="dxa"/>
          </w:tcPr>
          <w:p w14:paraId="112FF9CF">
            <w:pPr>
              <w:rPr>
                <w:rFonts w:ascii="仿宋" w:hAnsi="仿宋" w:eastAsia="仿宋"/>
                <w:color w:val="000000"/>
                <w:kern w:val="0"/>
                <w:sz w:val="30"/>
                <w:szCs w:val="30"/>
              </w:rPr>
            </w:pPr>
          </w:p>
          <w:p w14:paraId="79B5C86D">
            <w:pPr>
              <w:rPr>
                <w:rFonts w:ascii="Arial"/>
              </w:rPr>
            </w:pPr>
            <w:r>
              <w:rPr>
                <w:rFonts w:hint="eastAsia" w:ascii="仿宋" w:hAnsi="仿宋" w:eastAsia="仿宋" w:cs="仿宋"/>
                <w:color w:val="000000"/>
                <w:kern w:val="0"/>
                <w:sz w:val="30"/>
                <w:szCs w:val="30"/>
              </w:rPr>
              <w:t>其他职权</w:t>
            </w:r>
          </w:p>
        </w:tc>
        <w:tc>
          <w:tcPr>
            <w:tcW w:w="1395" w:type="dxa"/>
          </w:tcPr>
          <w:p w14:paraId="717E18F2">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984" w:type="dxa"/>
          </w:tcPr>
          <w:p w14:paraId="5ED78D6B">
            <w:pPr>
              <w:widowControl/>
              <w:jc w:val="left"/>
              <w:rPr>
                <w:sz w:val="24"/>
                <w:szCs w:val="24"/>
              </w:rPr>
            </w:pPr>
            <w:r>
              <w:rPr>
                <w:sz w:val="24"/>
                <w:szCs w:val="24"/>
              </w:rPr>
              <w:t>1.</w:t>
            </w:r>
            <w:r>
              <w:rPr>
                <w:rFonts w:hint="eastAsia" w:cs="宋体"/>
                <w:sz w:val="24"/>
                <w:szCs w:val="24"/>
              </w:rPr>
              <w:t>受理；</w:t>
            </w:r>
            <w:r>
              <w:rPr>
                <w:rFonts w:hint="eastAsia" w:ascii="仿宋_GB2312" w:hAnsi="仿宋_GB2312" w:eastAsia="仿宋_GB2312" w:cs="仿宋_GB2312"/>
                <w:color w:val="000000"/>
                <w:kern w:val="0"/>
                <w:sz w:val="24"/>
                <w:szCs w:val="24"/>
              </w:rPr>
              <w:t>工作人员接收申报材料，所交材料不齐全或不符合</w:t>
            </w:r>
            <w:r>
              <w:rPr>
                <w:rFonts w:ascii="仿宋_GB2312" w:hAnsi="仿宋_GB2312" w:eastAsia="仿宋_GB2312" w:cs="仿宋_GB2312"/>
                <w:color w:val="000000"/>
                <w:kern w:val="0"/>
                <w:sz w:val="24"/>
                <w:szCs w:val="24"/>
              </w:rPr>
              <w:t xml:space="preserve"> </w:t>
            </w:r>
          </w:p>
          <w:p w14:paraId="5BB8C74D">
            <w:pPr>
              <w:widowControl/>
              <w:jc w:val="left"/>
              <w:rPr>
                <w:sz w:val="24"/>
                <w:szCs w:val="24"/>
              </w:rPr>
            </w:pPr>
            <w:r>
              <w:rPr>
                <w:rFonts w:hint="eastAsia" w:ascii="仿宋_GB2312" w:hAnsi="仿宋_GB2312" w:eastAsia="仿宋_GB2312" w:cs="仿宋_GB2312"/>
                <w:color w:val="000000"/>
                <w:kern w:val="0"/>
                <w:sz w:val="24"/>
                <w:szCs w:val="24"/>
              </w:rPr>
              <w:t>法定要求的，签发《一次性告知书》。如所交材料</w:t>
            </w:r>
            <w:r>
              <w:rPr>
                <w:rFonts w:ascii="仿宋_GB2312" w:hAnsi="仿宋_GB2312" w:eastAsia="仿宋_GB2312" w:cs="仿宋_GB2312"/>
                <w:color w:val="000000"/>
                <w:kern w:val="0"/>
                <w:sz w:val="24"/>
                <w:szCs w:val="24"/>
              </w:rPr>
              <w:t xml:space="preserve"> </w:t>
            </w:r>
          </w:p>
          <w:p w14:paraId="1C217C38">
            <w:pPr>
              <w:widowControl/>
              <w:jc w:val="left"/>
              <w:rPr>
                <w:sz w:val="24"/>
                <w:szCs w:val="24"/>
              </w:rPr>
            </w:pPr>
            <w:r>
              <w:rPr>
                <w:rFonts w:hint="eastAsia" w:ascii="仿宋_GB2312" w:hAnsi="仿宋_GB2312" w:eastAsia="仿宋_GB2312" w:cs="仿宋_GB2312"/>
                <w:color w:val="000000"/>
                <w:kern w:val="0"/>
                <w:sz w:val="24"/>
                <w:szCs w:val="24"/>
              </w:rPr>
              <w:t>存在可以当场更正的错误，申请人可当场更正。如</w:t>
            </w:r>
            <w:r>
              <w:rPr>
                <w:rFonts w:ascii="仿宋_GB2312" w:hAnsi="仿宋_GB2312" w:eastAsia="仿宋_GB2312" w:cs="仿宋_GB2312"/>
                <w:color w:val="000000"/>
                <w:kern w:val="0"/>
                <w:sz w:val="24"/>
                <w:szCs w:val="24"/>
              </w:rPr>
              <w:t xml:space="preserve"> </w:t>
            </w:r>
          </w:p>
          <w:p w14:paraId="5802EFDC">
            <w:pPr>
              <w:widowControl/>
              <w:jc w:val="left"/>
              <w:rPr>
                <w:sz w:val="24"/>
                <w:szCs w:val="24"/>
              </w:rPr>
            </w:pPr>
            <w:r>
              <w:rPr>
                <w:rFonts w:hint="eastAsia" w:ascii="仿宋_GB2312" w:hAnsi="仿宋_GB2312" w:eastAsia="仿宋_GB2312" w:cs="仿宋_GB2312"/>
                <w:color w:val="000000"/>
                <w:kern w:val="0"/>
                <w:sz w:val="24"/>
                <w:szCs w:val="24"/>
              </w:rPr>
              <w:t>所交材料齐全，应当场作出是否受理决定，并签发</w:t>
            </w:r>
            <w:r>
              <w:rPr>
                <w:rFonts w:ascii="仿宋_GB2312" w:hAnsi="仿宋_GB2312" w:eastAsia="仿宋_GB2312" w:cs="仿宋_GB2312"/>
                <w:color w:val="000000"/>
                <w:kern w:val="0"/>
                <w:sz w:val="24"/>
                <w:szCs w:val="24"/>
              </w:rPr>
              <w:t xml:space="preserve"> </w:t>
            </w:r>
          </w:p>
          <w:p w14:paraId="303C6812">
            <w:pPr>
              <w:widowControl/>
              <w:jc w:val="left"/>
              <w:rPr>
                <w:sz w:val="24"/>
                <w:szCs w:val="24"/>
              </w:rPr>
            </w:pPr>
            <w:r>
              <w:rPr>
                <w:rFonts w:hint="eastAsia" w:ascii="仿宋_GB2312" w:hAnsi="仿宋_GB2312" w:eastAsia="仿宋_GB2312" w:cs="仿宋_GB2312"/>
                <w:color w:val="000000"/>
                <w:kern w:val="0"/>
                <w:sz w:val="24"/>
                <w:szCs w:val="24"/>
              </w:rPr>
              <w:t>《受理通知书》或《不予受理通知书》。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审核；在受理申报材料后，由办理科室对内容进行审查。如有必要，启动特殊环节进行辅助审查。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决定；作出是否同意申请事项的决定。作出准予审批（办</w:t>
            </w:r>
            <w:r>
              <w:rPr>
                <w:rFonts w:ascii="仿宋_GB2312" w:hAnsi="仿宋_GB2312" w:eastAsia="仿宋_GB2312" w:cs="仿宋_GB2312"/>
                <w:color w:val="000000"/>
                <w:kern w:val="0"/>
                <w:sz w:val="24"/>
                <w:szCs w:val="24"/>
              </w:rPr>
              <w:t xml:space="preserve"> </w:t>
            </w:r>
          </w:p>
          <w:p w14:paraId="750725D5">
            <w:pPr>
              <w:widowControl/>
              <w:jc w:val="left"/>
              <w:rPr>
                <w:sz w:val="24"/>
                <w:szCs w:val="24"/>
              </w:rPr>
            </w:pPr>
            <w:r>
              <w:rPr>
                <w:rFonts w:hint="eastAsia" w:ascii="仿宋_GB2312" w:hAnsi="仿宋_GB2312" w:eastAsia="仿宋_GB2312" w:cs="仿宋_GB2312"/>
                <w:color w:val="000000"/>
                <w:kern w:val="0"/>
                <w:sz w:val="24"/>
                <w:szCs w:val="24"/>
              </w:rPr>
              <w:t>理）决定的，签发审批办理结果；作出不予审批（办理）决定的，签发《不予审批（办理）告知单》。</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送达；实施机关作出决定当日应通知申请人，及时向申请人颁发、送达审批服务事项办理结果。</w:t>
            </w:r>
          </w:p>
          <w:p w14:paraId="3DC099DC">
            <w:pPr>
              <w:widowControl/>
              <w:jc w:val="left"/>
              <w:rPr>
                <w:sz w:val="24"/>
                <w:szCs w:val="24"/>
              </w:rPr>
            </w:pPr>
            <w:r>
              <w:rPr>
                <w:sz w:val="24"/>
                <w:szCs w:val="24"/>
              </w:rPr>
              <w:t>5.</w:t>
            </w:r>
            <w:r>
              <w:rPr>
                <w:rFonts w:hint="eastAsia" w:cs="宋体"/>
                <w:sz w:val="24"/>
                <w:szCs w:val="24"/>
              </w:rPr>
              <w:t>事后监管；</w:t>
            </w:r>
            <w:r>
              <w:rPr>
                <w:rFonts w:hint="eastAsia" w:ascii="仿宋_GB2312" w:hAnsi="仿宋_GB2312" w:eastAsia="仿宋_GB2312" w:cs="仿宋_GB2312"/>
                <w:color w:val="000000"/>
                <w:kern w:val="0"/>
                <w:sz w:val="24"/>
                <w:szCs w:val="24"/>
              </w:rPr>
              <w:t>对其他法律法规规章文件规定应履行的责任。</w:t>
            </w:r>
          </w:p>
          <w:p w14:paraId="5FCAC0EC">
            <w:pPr>
              <w:widowControl/>
              <w:jc w:val="left"/>
              <w:rPr>
                <w:sz w:val="24"/>
                <w:szCs w:val="24"/>
              </w:rPr>
            </w:pPr>
            <w:r>
              <w:rPr>
                <w:rFonts w:hint="eastAsia" w:ascii="仿宋_GB2312" w:hAnsi="仿宋_GB2312" w:eastAsia="仿宋_GB2312" w:cs="仿宋_GB2312"/>
                <w:color w:val="000000"/>
                <w:kern w:val="0"/>
                <w:sz w:val="24"/>
                <w:szCs w:val="24"/>
              </w:rPr>
              <w:t>省级以下人民防空信息系统建设项目审批工作进行监督检查。</w:t>
            </w:r>
          </w:p>
          <w:p w14:paraId="7369C594">
            <w:pPr>
              <w:rPr>
                <w:rFonts w:ascii="Arial"/>
              </w:rPr>
            </w:pPr>
          </w:p>
          <w:p w14:paraId="3032D2E0">
            <w:pPr>
              <w:jc w:val="center"/>
              <w:rPr>
                <w:rFonts w:ascii="Arial" w:hAnsi="Arial" w:eastAsia="Times New Roman"/>
                <w:snapToGrid w:val="0"/>
                <w:color w:val="000000"/>
                <w:kern w:val="0"/>
              </w:rPr>
            </w:pPr>
          </w:p>
        </w:tc>
        <w:tc>
          <w:tcPr>
            <w:tcW w:w="1639" w:type="dxa"/>
          </w:tcPr>
          <w:p w14:paraId="64F2F0B7">
            <w:pPr>
              <w:rPr>
                <w:rFonts w:ascii="Arial"/>
              </w:rPr>
            </w:pPr>
          </w:p>
        </w:tc>
        <w:tc>
          <w:tcPr>
            <w:tcW w:w="1673" w:type="dxa"/>
          </w:tcPr>
          <w:p w14:paraId="4E2C6287">
            <w:pPr>
              <w:rPr>
                <w:sz w:val="28"/>
                <w:szCs w:val="28"/>
              </w:rPr>
            </w:pPr>
          </w:p>
          <w:p w14:paraId="79DC1C4D">
            <w:pPr>
              <w:rPr>
                <w:sz w:val="28"/>
                <w:szCs w:val="28"/>
              </w:rPr>
            </w:pPr>
          </w:p>
          <w:p w14:paraId="6A2BD6B0">
            <w:pPr>
              <w:rPr>
                <w:sz w:val="28"/>
                <w:szCs w:val="28"/>
              </w:rPr>
            </w:pPr>
          </w:p>
          <w:p w14:paraId="518F3878">
            <w:pPr>
              <w:rPr>
                <w:sz w:val="28"/>
                <w:szCs w:val="28"/>
              </w:rPr>
            </w:pPr>
          </w:p>
          <w:p w14:paraId="347C21CC">
            <w:pPr>
              <w:rPr>
                <w:sz w:val="28"/>
                <w:szCs w:val="28"/>
              </w:rPr>
            </w:pPr>
          </w:p>
          <w:p w14:paraId="73B45C24">
            <w:pPr>
              <w:rPr>
                <w:sz w:val="28"/>
                <w:szCs w:val="28"/>
              </w:rPr>
            </w:pPr>
          </w:p>
          <w:p w14:paraId="5CA0FCD9">
            <w:pPr>
              <w:rPr>
                <w:sz w:val="28"/>
                <w:szCs w:val="28"/>
              </w:rPr>
            </w:pPr>
          </w:p>
          <w:p w14:paraId="0AD330B9">
            <w:pPr>
              <w:rPr>
                <w:sz w:val="28"/>
                <w:szCs w:val="28"/>
              </w:rPr>
            </w:pPr>
          </w:p>
          <w:p w14:paraId="2C2FD4ED">
            <w:pPr>
              <w:rPr>
                <w:sz w:val="28"/>
                <w:szCs w:val="28"/>
              </w:rPr>
            </w:pPr>
          </w:p>
          <w:p w14:paraId="3262D5F1">
            <w:pPr>
              <w:rPr>
                <w:sz w:val="28"/>
                <w:szCs w:val="28"/>
              </w:rPr>
            </w:pPr>
          </w:p>
          <w:p w14:paraId="0EC16757">
            <w:pPr>
              <w:rPr>
                <w:sz w:val="28"/>
                <w:szCs w:val="28"/>
              </w:rPr>
            </w:pPr>
          </w:p>
          <w:p w14:paraId="09375422">
            <w:pPr>
              <w:rPr>
                <w:sz w:val="28"/>
                <w:szCs w:val="28"/>
              </w:rPr>
            </w:pPr>
            <w:r>
              <w:rPr>
                <w:rFonts w:hint="eastAsia" w:cs="宋体"/>
                <w:sz w:val="28"/>
                <w:szCs w:val="28"/>
              </w:rPr>
              <w:t>人防中心</w:t>
            </w:r>
          </w:p>
          <w:p w14:paraId="1A727735">
            <w:pPr>
              <w:rPr>
                <w:rFonts w:ascii="Arial"/>
              </w:rPr>
            </w:pPr>
            <w:r>
              <w:rPr>
                <w:rFonts w:hint="eastAsia" w:cs="宋体"/>
                <w:sz w:val="28"/>
                <w:szCs w:val="28"/>
              </w:rPr>
              <w:t>工程股</w:t>
            </w:r>
          </w:p>
        </w:tc>
      </w:tr>
      <w:tr w14:paraId="5678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6" w:type="dxa"/>
            <w:gridSpan w:val="8"/>
          </w:tcPr>
          <w:p w14:paraId="306B4F33">
            <w:pPr>
              <w:spacing w:line="248" w:lineRule="auto"/>
              <w:rPr>
                <w:rFonts w:ascii="Arial"/>
              </w:rPr>
            </w:pPr>
          </w:p>
          <w:p w14:paraId="3A0C6602">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ascii="宋体" w:hAnsi="宋体" w:cs="宋体"/>
                <w:spacing w:val="10"/>
                <w:sz w:val="24"/>
                <w:szCs w:val="24"/>
              </w:rPr>
              <w:t xml:space="preserve"> </w:t>
            </w:r>
            <w:r>
              <w:rPr>
                <w:rFonts w:hint="eastAsia" w:ascii="宋体" w:hAnsi="宋体" w:cs="宋体"/>
                <w:spacing w:val="7"/>
                <w:sz w:val="24"/>
                <w:szCs w:val="24"/>
              </w:rPr>
              <w:t>投诉机构：</w:t>
            </w:r>
            <w:r>
              <w:rPr>
                <w:rFonts w:ascii="宋体" w:hAnsi="宋体" w:cs="宋体"/>
                <w:spacing w:val="1"/>
                <w:sz w:val="24"/>
                <w:szCs w:val="24"/>
              </w:rPr>
              <w:t xml:space="preserve">   </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284BD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5576" w:type="dxa"/>
            <w:gridSpan w:val="8"/>
          </w:tcPr>
          <w:p w14:paraId="739EEC44">
            <w:pPr>
              <w:spacing w:line="262" w:lineRule="auto"/>
              <w:rPr>
                <w:rFonts w:ascii="Arial"/>
              </w:rPr>
            </w:pPr>
          </w:p>
          <w:p w14:paraId="37388C81">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bl>
    <w:tbl>
      <w:tblPr>
        <w:tblStyle w:val="8"/>
        <w:tblpPr w:leftFromText="180" w:rightFromText="180" w:vertAnchor="text" w:horzAnchor="page" w:tblpX="705" w:tblpY="278"/>
        <w:tblOverlap w:val="never"/>
        <w:tblW w:w="15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849"/>
        <w:gridCol w:w="3609"/>
        <w:gridCol w:w="738"/>
        <w:gridCol w:w="1479"/>
        <w:gridCol w:w="3348"/>
        <w:gridCol w:w="1639"/>
        <w:gridCol w:w="1673"/>
      </w:tblGrid>
      <w:tr w14:paraId="5A79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144" w:type="dxa"/>
          </w:tcPr>
          <w:p w14:paraId="49378D9B">
            <w:pPr>
              <w:spacing w:before="202" w:line="221" w:lineRule="auto"/>
              <w:ind w:left="328"/>
              <w:rPr>
                <w:rFonts w:ascii="宋体"/>
                <w:sz w:val="24"/>
                <w:szCs w:val="24"/>
              </w:rPr>
            </w:pPr>
            <w:r>
              <w:rPr>
                <w:rFonts w:hint="eastAsia" w:ascii="宋体" w:hAnsi="宋体" w:cs="宋体"/>
                <w:b/>
                <w:bCs/>
                <w:spacing w:val="-5"/>
                <w:sz w:val="24"/>
                <w:szCs w:val="24"/>
              </w:rPr>
              <w:t>序号</w:t>
            </w:r>
          </w:p>
        </w:tc>
        <w:tc>
          <w:tcPr>
            <w:tcW w:w="1849" w:type="dxa"/>
          </w:tcPr>
          <w:p w14:paraId="56E388ED">
            <w:pPr>
              <w:spacing w:before="202" w:line="220" w:lineRule="auto"/>
              <w:ind w:left="434"/>
              <w:rPr>
                <w:rFonts w:ascii="宋体"/>
                <w:sz w:val="24"/>
                <w:szCs w:val="24"/>
              </w:rPr>
            </w:pPr>
            <w:r>
              <w:rPr>
                <w:rFonts w:hint="eastAsia" w:ascii="宋体" w:hAnsi="宋体" w:cs="宋体"/>
                <w:b/>
                <w:bCs/>
                <w:spacing w:val="-5"/>
                <w:sz w:val="24"/>
                <w:szCs w:val="24"/>
              </w:rPr>
              <w:t>项目名称</w:t>
            </w:r>
          </w:p>
        </w:tc>
        <w:tc>
          <w:tcPr>
            <w:tcW w:w="3609" w:type="dxa"/>
          </w:tcPr>
          <w:p w14:paraId="6723E8DC">
            <w:pPr>
              <w:spacing w:before="199" w:line="219" w:lineRule="auto"/>
              <w:ind w:left="1155"/>
              <w:rPr>
                <w:rFonts w:ascii="宋体"/>
                <w:sz w:val="24"/>
                <w:szCs w:val="24"/>
              </w:rPr>
            </w:pPr>
            <w:r>
              <w:rPr>
                <w:rFonts w:hint="eastAsia" w:ascii="宋体" w:hAnsi="宋体" w:cs="宋体"/>
                <w:b/>
                <w:bCs/>
                <w:spacing w:val="-1"/>
                <w:sz w:val="24"/>
                <w:szCs w:val="24"/>
              </w:rPr>
              <w:t>实施依据</w:t>
            </w:r>
          </w:p>
        </w:tc>
        <w:tc>
          <w:tcPr>
            <w:tcW w:w="738" w:type="dxa"/>
          </w:tcPr>
          <w:p w14:paraId="047A368E">
            <w:pPr>
              <w:spacing w:before="31" w:line="340" w:lineRule="exact"/>
              <w:ind w:left="287"/>
              <w:rPr>
                <w:rFonts w:ascii="宋体"/>
                <w:sz w:val="24"/>
                <w:szCs w:val="24"/>
              </w:rPr>
            </w:pPr>
            <w:r>
              <w:rPr>
                <w:rFonts w:hint="eastAsia" w:ascii="宋体" w:hAnsi="宋体" w:cs="宋体"/>
                <w:b/>
                <w:bCs/>
                <w:spacing w:val="-6"/>
                <w:position w:val="7"/>
                <w:sz w:val="24"/>
                <w:szCs w:val="24"/>
              </w:rPr>
              <w:t>职权</w:t>
            </w:r>
          </w:p>
          <w:p w14:paraId="08265AD7">
            <w:pPr>
              <w:spacing w:before="1" w:line="209" w:lineRule="auto"/>
              <w:ind w:left="287"/>
              <w:rPr>
                <w:rFonts w:ascii="宋体"/>
                <w:sz w:val="24"/>
                <w:szCs w:val="24"/>
              </w:rPr>
            </w:pPr>
            <w:r>
              <w:rPr>
                <w:rFonts w:hint="eastAsia" w:ascii="宋体" w:hAnsi="宋体" w:cs="宋体"/>
                <w:b/>
                <w:bCs/>
                <w:spacing w:val="3"/>
                <w:sz w:val="24"/>
                <w:szCs w:val="24"/>
              </w:rPr>
              <w:t>类别</w:t>
            </w:r>
          </w:p>
        </w:tc>
        <w:tc>
          <w:tcPr>
            <w:tcW w:w="1479" w:type="dxa"/>
          </w:tcPr>
          <w:p w14:paraId="15DB6023">
            <w:pPr>
              <w:spacing w:before="201" w:line="219" w:lineRule="auto"/>
              <w:ind w:left="258"/>
              <w:rPr>
                <w:rFonts w:ascii="宋体"/>
                <w:sz w:val="24"/>
                <w:szCs w:val="24"/>
              </w:rPr>
            </w:pPr>
            <w:r>
              <w:rPr>
                <w:rFonts w:hint="eastAsia" w:ascii="宋体" w:hAnsi="宋体" w:cs="宋体"/>
                <w:b/>
                <w:bCs/>
                <w:spacing w:val="-6"/>
                <w:sz w:val="24"/>
                <w:szCs w:val="24"/>
              </w:rPr>
              <w:t>办理环节</w:t>
            </w:r>
          </w:p>
        </w:tc>
        <w:tc>
          <w:tcPr>
            <w:tcW w:w="3348" w:type="dxa"/>
          </w:tcPr>
          <w:p w14:paraId="7EE981DD">
            <w:pPr>
              <w:spacing w:before="201" w:line="219" w:lineRule="auto"/>
              <w:ind w:left="1189"/>
              <w:rPr>
                <w:rFonts w:ascii="宋体"/>
                <w:sz w:val="24"/>
                <w:szCs w:val="24"/>
              </w:rPr>
            </w:pPr>
            <w:r>
              <w:rPr>
                <w:rFonts w:hint="eastAsia" w:ascii="宋体" w:hAnsi="宋体" w:cs="宋体"/>
                <w:b/>
                <w:bCs/>
                <w:spacing w:val="-1"/>
                <w:sz w:val="24"/>
                <w:szCs w:val="24"/>
              </w:rPr>
              <w:t>责任事项</w:t>
            </w:r>
          </w:p>
        </w:tc>
        <w:tc>
          <w:tcPr>
            <w:tcW w:w="1639" w:type="dxa"/>
          </w:tcPr>
          <w:p w14:paraId="0637C3F6">
            <w:pPr>
              <w:spacing w:before="202" w:line="220" w:lineRule="auto"/>
              <w:ind w:left="341"/>
              <w:rPr>
                <w:rFonts w:ascii="宋体"/>
                <w:sz w:val="24"/>
                <w:szCs w:val="24"/>
              </w:rPr>
            </w:pPr>
            <w:r>
              <w:rPr>
                <w:rFonts w:hint="eastAsia" w:ascii="宋体" w:hAnsi="宋体" w:cs="宋体"/>
                <w:b/>
                <w:bCs/>
                <w:spacing w:val="-5"/>
                <w:sz w:val="24"/>
                <w:szCs w:val="24"/>
              </w:rPr>
              <w:t>追责情形</w:t>
            </w:r>
          </w:p>
        </w:tc>
        <w:tc>
          <w:tcPr>
            <w:tcW w:w="1673" w:type="dxa"/>
          </w:tcPr>
          <w:p w14:paraId="3D4E909F">
            <w:pPr>
              <w:spacing w:before="199" w:line="219" w:lineRule="auto"/>
              <w:ind w:left="352"/>
              <w:rPr>
                <w:rFonts w:ascii="宋体"/>
                <w:sz w:val="24"/>
                <w:szCs w:val="24"/>
              </w:rPr>
            </w:pPr>
            <w:r>
              <w:rPr>
                <w:rFonts w:hint="eastAsia" w:ascii="宋体" w:hAnsi="宋体" w:cs="宋体"/>
                <w:b/>
                <w:bCs/>
                <w:spacing w:val="-2"/>
                <w:sz w:val="24"/>
                <w:szCs w:val="24"/>
              </w:rPr>
              <w:t>责任科室</w:t>
            </w:r>
          </w:p>
        </w:tc>
      </w:tr>
    </w:tbl>
    <w:tbl>
      <w:tblPr>
        <w:tblStyle w:val="8"/>
        <w:tblpPr w:leftFromText="180" w:rightFromText="180" w:vertAnchor="text" w:horzAnchor="page" w:tblpX="710" w:tblpY="306"/>
        <w:tblOverlap w:val="never"/>
        <w:tblW w:w="15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1599"/>
        <w:gridCol w:w="3945"/>
        <w:gridCol w:w="720"/>
        <w:gridCol w:w="1230"/>
        <w:gridCol w:w="3591"/>
        <w:gridCol w:w="1620"/>
        <w:gridCol w:w="1695"/>
      </w:tblGrid>
      <w:tr w14:paraId="6CE7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7" w:hRule="atLeast"/>
        </w:trPr>
        <w:tc>
          <w:tcPr>
            <w:tcW w:w="1065" w:type="dxa"/>
          </w:tcPr>
          <w:p w14:paraId="42FE24B4">
            <w:pPr>
              <w:spacing w:line="260" w:lineRule="auto"/>
              <w:rPr>
                <w:rFonts w:ascii="Arial"/>
              </w:rPr>
            </w:pPr>
          </w:p>
          <w:p w14:paraId="4368710A">
            <w:pPr>
              <w:spacing w:line="260" w:lineRule="auto"/>
              <w:rPr>
                <w:rFonts w:ascii="Arial"/>
              </w:rPr>
            </w:pPr>
          </w:p>
          <w:p w14:paraId="24D4E3C8">
            <w:pPr>
              <w:spacing w:line="260" w:lineRule="auto"/>
              <w:rPr>
                <w:rFonts w:ascii="Arial"/>
              </w:rPr>
            </w:pPr>
          </w:p>
          <w:p w14:paraId="62B84E70">
            <w:pPr>
              <w:spacing w:line="260" w:lineRule="auto"/>
              <w:rPr>
                <w:rFonts w:ascii="Arial"/>
              </w:rPr>
            </w:pPr>
          </w:p>
          <w:p w14:paraId="6D9320EF">
            <w:pPr>
              <w:spacing w:line="260" w:lineRule="auto"/>
              <w:rPr>
                <w:rFonts w:ascii="Arial"/>
              </w:rPr>
            </w:pPr>
          </w:p>
          <w:p w14:paraId="50A4ED56">
            <w:pPr>
              <w:spacing w:before="78" w:line="184" w:lineRule="auto"/>
              <w:rPr>
                <w:rFonts w:ascii="宋体"/>
                <w:sz w:val="24"/>
                <w:szCs w:val="24"/>
              </w:rPr>
            </w:pPr>
            <w:r>
              <w:rPr>
                <w:rFonts w:ascii="宋体" w:hAnsi="宋体" w:cs="宋体"/>
                <w:sz w:val="24"/>
                <w:szCs w:val="24"/>
              </w:rPr>
              <w:t xml:space="preserve">  </w:t>
            </w:r>
          </w:p>
          <w:p w14:paraId="286D0564">
            <w:pPr>
              <w:spacing w:before="78" w:line="184" w:lineRule="auto"/>
              <w:rPr>
                <w:rFonts w:ascii="宋体"/>
                <w:sz w:val="24"/>
                <w:szCs w:val="24"/>
              </w:rPr>
            </w:pPr>
          </w:p>
          <w:p w14:paraId="06177A05">
            <w:pPr>
              <w:spacing w:before="78" w:line="184" w:lineRule="auto"/>
              <w:ind w:firstLine="480" w:firstLineChars="200"/>
              <w:rPr>
                <w:rFonts w:hint="default" w:ascii="宋体" w:eastAsia="宋体"/>
                <w:sz w:val="24"/>
                <w:szCs w:val="24"/>
                <w:lang w:val="en-US" w:eastAsia="zh-CN"/>
              </w:rPr>
            </w:pPr>
            <w:r>
              <w:rPr>
                <w:rFonts w:hint="eastAsia" w:ascii="宋体" w:hAnsi="宋体" w:cs="宋体"/>
                <w:sz w:val="24"/>
                <w:szCs w:val="24"/>
                <w:lang w:val="en-US" w:eastAsia="zh-CN"/>
              </w:rPr>
              <w:t>20</w:t>
            </w:r>
          </w:p>
        </w:tc>
        <w:tc>
          <w:tcPr>
            <w:tcW w:w="1599" w:type="dxa"/>
          </w:tcPr>
          <w:p w14:paraId="0ADF9B03">
            <w:pPr>
              <w:rPr>
                <w:rFonts w:ascii="仿宋_GB2312" w:hAnsi="宋体" w:eastAsia="仿宋_GB2312"/>
                <w:color w:val="000000"/>
                <w:kern w:val="0"/>
                <w:sz w:val="28"/>
                <w:szCs w:val="28"/>
              </w:rPr>
            </w:pPr>
          </w:p>
          <w:p w14:paraId="18C4BDA4">
            <w:pPr>
              <w:rPr>
                <w:rFonts w:ascii="仿宋_GB2312" w:hAnsi="宋体" w:eastAsia="仿宋_GB2312"/>
                <w:color w:val="000000"/>
                <w:kern w:val="0"/>
                <w:sz w:val="28"/>
                <w:szCs w:val="28"/>
              </w:rPr>
            </w:pPr>
          </w:p>
          <w:p w14:paraId="4EC7C299">
            <w:pPr>
              <w:rPr>
                <w:rFonts w:ascii="仿宋_GB2312" w:hAnsi="宋体" w:eastAsia="仿宋_GB2312"/>
                <w:color w:val="000000"/>
                <w:kern w:val="0"/>
                <w:sz w:val="28"/>
                <w:szCs w:val="28"/>
              </w:rPr>
            </w:pPr>
          </w:p>
          <w:p w14:paraId="14F5BFE5">
            <w:pPr>
              <w:rPr>
                <w:rFonts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人民防空工程改造审批</w:t>
            </w:r>
          </w:p>
          <w:p w14:paraId="7F79F417">
            <w:pPr>
              <w:rPr>
                <w:rFonts w:ascii="仿宋_GB2312" w:hAnsi="宋体" w:eastAsia="仿宋_GB2312"/>
                <w:color w:val="000000"/>
                <w:kern w:val="0"/>
                <w:sz w:val="28"/>
                <w:szCs w:val="28"/>
              </w:rPr>
            </w:pPr>
          </w:p>
          <w:p w14:paraId="49494DD8">
            <w:pPr>
              <w:rPr>
                <w:rFonts w:ascii="仿宋_GB2312" w:hAnsi="宋体" w:eastAsia="仿宋_GB2312"/>
                <w:color w:val="000000"/>
                <w:kern w:val="0"/>
                <w:sz w:val="28"/>
                <w:szCs w:val="28"/>
              </w:rPr>
            </w:pPr>
          </w:p>
          <w:p w14:paraId="76F8D266">
            <w:pPr>
              <w:rPr>
                <w:rFonts w:ascii="仿宋_GB2312" w:hAnsi="宋体" w:eastAsia="仿宋_GB2312"/>
                <w:color w:val="000000"/>
                <w:kern w:val="0"/>
                <w:sz w:val="28"/>
                <w:szCs w:val="28"/>
              </w:rPr>
            </w:pPr>
          </w:p>
          <w:p w14:paraId="4123D804">
            <w:pPr>
              <w:rPr>
                <w:rFonts w:ascii="仿宋_GB2312" w:hAnsi="宋体" w:eastAsia="仿宋_GB2312"/>
                <w:color w:val="000000"/>
                <w:kern w:val="0"/>
                <w:sz w:val="28"/>
                <w:szCs w:val="28"/>
              </w:rPr>
            </w:pPr>
          </w:p>
          <w:p w14:paraId="1D9DD1D4">
            <w:pPr>
              <w:rPr>
                <w:rFonts w:ascii="Arial"/>
              </w:rPr>
            </w:pPr>
          </w:p>
        </w:tc>
        <w:tc>
          <w:tcPr>
            <w:tcW w:w="3945" w:type="dxa"/>
          </w:tcPr>
          <w:p w14:paraId="3CF2536C">
            <w:pPr>
              <w:rPr>
                <w:rFonts w:ascii="Arial"/>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、《人民防空工程维护管理办法》（〔</w:t>
            </w:r>
            <w:r>
              <w:rPr>
                <w:rFonts w:ascii="仿宋" w:hAnsi="仿宋" w:eastAsia="仿宋" w:cs="仿宋"/>
                <w:color w:val="000000"/>
                <w:kern w:val="0"/>
                <w:sz w:val="22"/>
                <w:szCs w:val="22"/>
              </w:rPr>
              <w:t>2001</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210</w:t>
            </w:r>
            <w:r>
              <w:rPr>
                <w:rFonts w:hint="eastAsia" w:ascii="仿宋" w:hAnsi="仿宋" w:eastAsia="仿宋" w:cs="仿宋"/>
                <w:color w:val="000000"/>
                <w:kern w:val="0"/>
                <w:sz w:val="22"/>
                <w:szCs w:val="22"/>
              </w:rPr>
              <w:t>号）第十六条：“人民防空工程进行改造时，不得降低防护能力和影响其防空效能，并按有关规定、规范进行设计，经人民防空主管部门批准后实施。”</w:t>
            </w:r>
            <w:r>
              <w:rPr>
                <w:rFonts w:ascii="仿宋" w:hAnsi="仿宋" w:eastAsia="仿宋" w:cs="仿宋"/>
                <w:color w:val="000000"/>
                <w:kern w:val="0"/>
                <w:sz w:val="22"/>
                <w:szCs w:val="22"/>
              </w:rPr>
              <w:t>2.</w:t>
            </w:r>
            <w:r>
              <w:rPr>
                <w:rFonts w:hint="eastAsia" w:ascii="仿宋" w:hAnsi="仿宋" w:eastAsia="仿宋" w:cs="仿宋"/>
                <w:color w:val="000000"/>
                <w:kern w:val="0"/>
                <w:sz w:val="22"/>
                <w:szCs w:val="22"/>
              </w:rPr>
              <w:t>《人民防空工程平时开发利用管理办法》（</w:t>
            </w:r>
            <w:r>
              <w:rPr>
                <w:rFonts w:ascii="仿宋" w:hAnsi="仿宋" w:eastAsia="仿宋" w:cs="仿宋"/>
                <w:color w:val="000000"/>
                <w:kern w:val="0"/>
                <w:sz w:val="22"/>
                <w:szCs w:val="22"/>
              </w:rPr>
              <w:t xml:space="preserve"> </w:t>
            </w:r>
            <w:r>
              <w:rPr>
                <w:rFonts w:hint="eastAsia" w:ascii="仿宋" w:hAnsi="仿宋" w:eastAsia="仿宋" w:cs="仿宋"/>
                <w:color w:val="000000"/>
                <w:kern w:val="0"/>
                <w:sz w:val="22"/>
                <w:szCs w:val="22"/>
              </w:rPr>
              <w:t>〔</w:t>
            </w:r>
            <w:r>
              <w:rPr>
                <w:rFonts w:ascii="仿宋" w:hAnsi="仿宋" w:eastAsia="仿宋" w:cs="仿宋"/>
                <w:color w:val="000000"/>
                <w:kern w:val="0"/>
                <w:sz w:val="22"/>
                <w:szCs w:val="22"/>
              </w:rPr>
              <w:t>2001</w:t>
            </w:r>
            <w:r>
              <w:rPr>
                <w:rFonts w:hint="eastAsia" w:ascii="仿宋" w:hAnsi="仿宋" w:eastAsia="仿宋" w:cs="仿宋"/>
                <w:color w:val="000000"/>
                <w:kern w:val="0"/>
                <w:sz w:val="22"/>
                <w:szCs w:val="22"/>
              </w:rPr>
              <w:t>〕国人防办字第</w:t>
            </w:r>
            <w:r>
              <w:rPr>
                <w:rFonts w:ascii="仿宋" w:hAnsi="仿宋" w:eastAsia="仿宋" w:cs="仿宋"/>
                <w:color w:val="000000"/>
                <w:kern w:val="0"/>
                <w:sz w:val="22"/>
                <w:szCs w:val="22"/>
              </w:rPr>
              <w:t>211</w:t>
            </w:r>
            <w:r>
              <w:rPr>
                <w:rFonts w:hint="eastAsia" w:ascii="仿宋" w:hAnsi="仿宋" w:eastAsia="仿宋" w:cs="仿宋"/>
                <w:color w:val="000000"/>
                <w:kern w:val="0"/>
                <w:sz w:val="22"/>
                <w:szCs w:val="22"/>
              </w:rPr>
              <w:t>号）第十三条：“使用单位不得改变人民防空工程的主体结构，不得擅自拆除人民防空工程设备设施或者危害人民防空工程的安全和使用效能。使用单位因使用需要可对人民防空工程进行装修并向工程隶属单位提出书面申请。装修方案和施工图纸必须报经工程所在地人防主管部门批准。”</w:t>
            </w:r>
          </w:p>
        </w:tc>
        <w:tc>
          <w:tcPr>
            <w:tcW w:w="720" w:type="dxa"/>
          </w:tcPr>
          <w:p w14:paraId="6563AF40">
            <w:pPr>
              <w:rPr>
                <w:rFonts w:ascii="仿宋" w:hAnsi="仿宋" w:eastAsia="仿宋"/>
                <w:color w:val="000000"/>
                <w:kern w:val="0"/>
                <w:sz w:val="30"/>
                <w:szCs w:val="30"/>
              </w:rPr>
            </w:pPr>
          </w:p>
          <w:p w14:paraId="1E911B6B">
            <w:pPr>
              <w:rPr>
                <w:rFonts w:ascii="仿宋" w:hAnsi="仿宋" w:eastAsia="仿宋"/>
                <w:color w:val="000000"/>
                <w:kern w:val="0"/>
                <w:sz w:val="30"/>
                <w:szCs w:val="30"/>
              </w:rPr>
            </w:pPr>
          </w:p>
          <w:p w14:paraId="5307E0E9">
            <w:pPr>
              <w:rPr>
                <w:rFonts w:ascii="仿宋" w:hAnsi="仿宋" w:eastAsia="仿宋"/>
                <w:color w:val="000000"/>
                <w:kern w:val="0"/>
                <w:sz w:val="30"/>
                <w:szCs w:val="30"/>
              </w:rPr>
            </w:pPr>
          </w:p>
          <w:p w14:paraId="46AE5A0A">
            <w:pPr>
              <w:rPr>
                <w:rFonts w:hint="eastAsia" w:ascii="Arial" w:eastAsia="宋体"/>
                <w:lang w:val="en-US" w:eastAsia="zh-CN"/>
              </w:rPr>
            </w:pPr>
            <w:r>
              <w:rPr>
                <w:rFonts w:hint="eastAsia" w:ascii="Arial"/>
                <w:lang w:val="en-US" w:eastAsia="zh-CN"/>
              </w:rPr>
              <w:t xml:space="preserve"> 其他职权</w:t>
            </w:r>
          </w:p>
        </w:tc>
        <w:tc>
          <w:tcPr>
            <w:tcW w:w="1230" w:type="dxa"/>
          </w:tcPr>
          <w:p w14:paraId="50C5FEDB">
            <w:pPr>
              <w:rPr>
                <w:rFonts w:ascii="宋体"/>
                <w:sz w:val="30"/>
                <w:szCs w:val="30"/>
              </w:rPr>
            </w:pPr>
          </w:p>
          <w:p w14:paraId="373283CC">
            <w:pPr>
              <w:rPr>
                <w:rFonts w:ascii="宋体"/>
                <w:sz w:val="30"/>
                <w:szCs w:val="30"/>
              </w:rPr>
            </w:pPr>
          </w:p>
          <w:p w14:paraId="4BA2CB2C">
            <w:pPr>
              <w:rPr>
                <w:rFonts w:ascii="Arial"/>
              </w:rPr>
            </w:pPr>
            <w:r>
              <w:rPr>
                <w:rFonts w:ascii="宋体" w:hAnsi="宋体" w:cs="宋体"/>
                <w:sz w:val="30"/>
                <w:szCs w:val="30"/>
              </w:rPr>
              <w:t>1.</w:t>
            </w:r>
            <w:r>
              <w:rPr>
                <w:rFonts w:hint="eastAsia" w:ascii="宋体" w:hAnsi="宋体" w:cs="宋体"/>
                <w:sz w:val="30"/>
                <w:szCs w:val="30"/>
              </w:rPr>
              <w:t>受理</w:t>
            </w:r>
            <w:r>
              <w:rPr>
                <w:rFonts w:ascii="宋体" w:hAnsi="宋体" w:cs="宋体"/>
                <w:sz w:val="30"/>
                <w:szCs w:val="30"/>
              </w:rPr>
              <w:t>,2.</w:t>
            </w:r>
            <w:r>
              <w:rPr>
                <w:rFonts w:hint="eastAsia" w:ascii="宋体" w:hAnsi="宋体" w:cs="宋体"/>
                <w:sz w:val="30"/>
                <w:szCs w:val="30"/>
              </w:rPr>
              <w:t>审核，</w:t>
            </w:r>
            <w:r>
              <w:rPr>
                <w:rFonts w:ascii="宋体" w:hAnsi="宋体" w:cs="宋体"/>
                <w:sz w:val="30"/>
                <w:szCs w:val="30"/>
              </w:rPr>
              <w:t>3.</w:t>
            </w:r>
            <w:r>
              <w:rPr>
                <w:rFonts w:hint="eastAsia" w:ascii="宋体" w:hAnsi="宋体" w:cs="宋体"/>
                <w:sz w:val="30"/>
                <w:szCs w:val="30"/>
              </w:rPr>
              <w:t>决定，</w:t>
            </w:r>
            <w:r>
              <w:rPr>
                <w:rFonts w:ascii="宋体" w:hAnsi="宋体" w:cs="宋体"/>
                <w:sz w:val="30"/>
                <w:szCs w:val="30"/>
              </w:rPr>
              <w:t>4.</w:t>
            </w:r>
            <w:r>
              <w:rPr>
                <w:rFonts w:hint="eastAsia" w:ascii="宋体" w:hAnsi="宋体" w:cs="宋体"/>
                <w:sz w:val="30"/>
                <w:szCs w:val="30"/>
              </w:rPr>
              <w:t>送达，</w:t>
            </w:r>
            <w:r>
              <w:rPr>
                <w:rFonts w:ascii="宋体" w:hAnsi="宋体" w:cs="宋体"/>
                <w:sz w:val="30"/>
                <w:szCs w:val="30"/>
              </w:rPr>
              <w:t>5.</w:t>
            </w:r>
            <w:r>
              <w:rPr>
                <w:rFonts w:hint="eastAsia" w:ascii="宋体" w:hAnsi="宋体" w:cs="宋体"/>
                <w:sz w:val="30"/>
                <w:szCs w:val="30"/>
              </w:rPr>
              <w:t>事后监管</w:t>
            </w:r>
          </w:p>
        </w:tc>
        <w:tc>
          <w:tcPr>
            <w:tcW w:w="3591" w:type="dxa"/>
          </w:tcPr>
          <w:p w14:paraId="358F3DD5">
            <w:pPr>
              <w:widowControl/>
              <w:jc w:val="left"/>
              <w:rPr>
                <w:sz w:val="24"/>
                <w:szCs w:val="24"/>
              </w:rPr>
            </w:pPr>
            <w:r>
              <w:rPr>
                <w:sz w:val="24"/>
                <w:szCs w:val="24"/>
              </w:rPr>
              <w:t>1.</w:t>
            </w:r>
            <w:r>
              <w:rPr>
                <w:rFonts w:hint="eastAsia" w:cs="宋体"/>
                <w:sz w:val="24"/>
                <w:szCs w:val="24"/>
              </w:rPr>
              <w:t>受理；</w:t>
            </w:r>
            <w:r>
              <w:rPr>
                <w:rFonts w:hint="eastAsia" w:ascii="仿宋_GB2312" w:hAnsi="仿宋_GB2312" w:eastAsia="仿宋_GB2312" w:cs="仿宋_GB2312"/>
                <w:color w:val="000000"/>
                <w:kern w:val="0"/>
                <w:sz w:val="24"/>
                <w:szCs w:val="24"/>
              </w:rPr>
              <w:t>工作人员通过窗口或河南政务服务网接收申报材</w:t>
            </w:r>
            <w:r>
              <w:rPr>
                <w:rFonts w:ascii="仿宋_GB2312" w:hAnsi="仿宋_GB2312" w:eastAsia="仿宋_GB2312" w:cs="仿宋_GB2312"/>
                <w:color w:val="000000"/>
                <w:kern w:val="0"/>
                <w:sz w:val="24"/>
                <w:szCs w:val="24"/>
              </w:rPr>
              <w:t xml:space="preserve"> </w:t>
            </w:r>
          </w:p>
          <w:p w14:paraId="1AA86F1F">
            <w:pPr>
              <w:widowControl/>
              <w:jc w:val="left"/>
              <w:rPr>
                <w:sz w:val="24"/>
                <w:szCs w:val="24"/>
              </w:rPr>
            </w:pPr>
            <w:r>
              <w:rPr>
                <w:rFonts w:hint="eastAsia" w:ascii="仿宋_GB2312" w:hAnsi="仿宋_GB2312" w:eastAsia="仿宋_GB2312" w:cs="仿宋_GB2312"/>
                <w:color w:val="000000"/>
                <w:kern w:val="0"/>
                <w:sz w:val="24"/>
                <w:szCs w:val="24"/>
              </w:rPr>
              <w:t>料，所交材料不齐全或不符合法定要求的，签发《一</w:t>
            </w:r>
            <w:r>
              <w:rPr>
                <w:rFonts w:ascii="仿宋_GB2312" w:hAnsi="仿宋_GB2312" w:eastAsia="仿宋_GB2312" w:cs="仿宋_GB2312"/>
                <w:color w:val="000000"/>
                <w:kern w:val="0"/>
                <w:sz w:val="24"/>
                <w:szCs w:val="24"/>
              </w:rPr>
              <w:t xml:space="preserve"> </w:t>
            </w:r>
          </w:p>
          <w:p w14:paraId="590BCF30">
            <w:pPr>
              <w:widowControl/>
              <w:jc w:val="left"/>
              <w:rPr>
                <w:sz w:val="24"/>
                <w:szCs w:val="24"/>
              </w:rPr>
            </w:pPr>
            <w:r>
              <w:rPr>
                <w:rFonts w:hint="eastAsia" w:ascii="仿宋_GB2312" w:hAnsi="仿宋_GB2312" w:eastAsia="仿宋_GB2312" w:cs="仿宋_GB2312"/>
                <w:color w:val="000000"/>
                <w:kern w:val="0"/>
                <w:sz w:val="24"/>
                <w:szCs w:val="24"/>
              </w:rPr>
              <w:t>次性告知书》。如所交材料存在可以当场更正的错</w:t>
            </w:r>
            <w:r>
              <w:rPr>
                <w:rFonts w:ascii="仿宋_GB2312" w:hAnsi="仿宋_GB2312" w:eastAsia="仿宋_GB2312" w:cs="仿宋_GB2312"/>
                <w:color w:val="000000"/>
                <w:kern w:val="0"/>
                <w:sz w:val="24"/>
                <w:szCs w:val="24"/>
              </w:rPr>
              <w:t xml:space="preserve"> </w:t>
            </w:r>
          </w:p>
          <w:p w14:paraId="0A8E0B89">
            <w:pPr>
              <w:widowControl/>
              <w:jc w:val="left"/>
              <w:rPr>
                <w:sz w:val="24"/>
                <w:szCs w:val="24"/>
              </w:rPr>
            </w:pPr>
            <w:r>
              <w:rPr>
                <w:rFonts w:hint="eastAsia" w:ascii="仿宋_GB2312" w:hAnsi="仿宋_GB2312" w:eastAsia="仿宋_GB2312" w:cs="仿宋_GB2312"/>
                <w:color w:val="000000"/>
                <w:kern w:val="0"/>
                <w:sz w:val="24"/>
                <w:szCs w:val="24"/>
              </w:rPr>
              <w:t>误，申请人可当场更正。如所交材料齐全，应当场</w:t>
            </w:r>
            <w:r>
              <w:rPr>
                <w:rFonts w:ascii="仿宋_GB2312" w:hAnsi="仿宋_GB2312" w:eastAsia="仿宋_GB2312" w:cs="仿宋_GB2312"/>
                <w:color w:val="000000"/>
                <w:kern w:val="0"/>
                <w:sz w:val="24"/>
                <w:szCs w:val="24"/>
              </w:rPr>
              <w:t xml:space="preserve"> </w:t>
            </w:r>
          </w:p>
          <w:p w14:paraId="558B2766">
            <w:pPr>
              <w:widowControl/>
              <w:jc w:val="left"/>
              <w:rPr>
                <w:sz w:val="24"/>
                <w:szCs w:val="24"/>
              </w:rPr>
            </w:pPr>
            <w:r>
              <w:rPr>
                <w:rFonts w:hint="eastAsia" w:ascii="仿宋_GB2312" w:hAnsi="仿宋_GB2312" w:eastAsia="仿宋_GB2312" w:cs="仿宋_GB2312"/>
                <w:color w:val="000000"/>
                <w:kern w:val="0"/>
                <w:sz w:val="24"/>
                <w:szCs w:val="24"/>
              </w:rPr>
              <w:t>作出是否受理决定，并签发《受理通知书》或《不</w:t>
            </w:r>
            <w:r>
              <w:rPr>
                <w:rFonts w:ascii="仿宋_GB2312" w:hAnsi="仿宋_GB2312" w:eastAsia="仿宋_GB2312" w:cs="仿宋_GB2312"/>
                <w:color w:val="000000"/>
                <w:kern w:val="0"/>
                <w:sz w:val="24"/>
                <w:szCs w:val="24"/>
              </w:rPr>
              <w:t xml:space="preserve"> </w:t>
            </w:r>
          </w:p>
          <w:p w14:paraId="5F95673E">
            <w:pPr>
              <w:widowControl/>
              <w:jc w:val="left"/>
              <w:rPr>
                <w:sz w:val="24"/>
                <w:szCs w:val="24"/>
              </w:rPr>
            </w:pPr>
            <w:r>
              <w:rPr>
                <w:rFonts w:hint="eastAsia" w:ascii="仿宋_GB2312" w:hAnsi="仿宋_GB2312" w:eastAsia="仿宋_GB2312" w:cs="仿宋_GB2312"/>
                <w:color w:val="000000"/>
                <w:kern w:val="0"/>
                <w:sz w:val="24"/>
                <w:szCs w:val="24"/>
              </w:rPr>
              <w:t>予受理通知书》。</w:t>
            </w:r>
            <w:r>
              <w:rPr>
                <w:rFonts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审核；在受理申报材料后，由办理科室对内容进行审查。</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如有必要，启动特殊环节进行辅助审查。</w:t>
            </w:r>
            <w:r>
              <w:rPr>
                <w:rFonts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决定；作出是否同意申请事项的决定。作出准予审批（办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理）决定的，签发审批办理结果；作出不予审批（办</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理）决定的，签发《不予审批（办理）告知单》。</w:t>
            </w:r>
            <w:r>
              <w:rPr>
                <w:rFonts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送达；实施机关作出决定当日应通知申请人，及时向申请</w:t>
            </w:r>
            <w:r>
              <w:rPr>
                <w:rFonts w:ascii="仿宋_GB2312" w:hAnsi="仿宋_GB2312" w:eastAsia="仿宋_GB2312" w:cs="仿宋_GB2312"/>
                <w:color w:val="000000"/>
                <w:kern w:val="0"/>
                <w:sz w:val="24"/>
                <w:szCs w:val="24"/>
              </w:rPr>
              <w:t xml:space="preserve"> </w:t>
            </w:r>
          </w:p>
          <w:p w14:paraId="38388026">
            <w:pPr>
              <w:widowControl/>
              <w:jc w:val="left"/>
              <w:rPr>
                <w:sz w:val="24"/>
                <w:szCs w:val="24"/>
              </w:rPr>
            </w:pPr>
            <w:r>
              <w:rPr>
                <w:rFonts w:hint="eastAsia" w:ascii="仿宋_GB2312" w:hAnsi="仿宋_GB2312" w:eastAsia="仿宋_GB2312" w:cs="仿宋_GB2312"/>
                <w:color w:val="000000"/>
                <w:kern w:val="0"/>
                <w:sz w:val="24"/>
                <w:szCs w:val="24"/>
              </w:rPr>
              <w:t>人颁发、送达审批服务事项办理结果。</w:t>
            </w:r>
            <w:r>
              <w:rPr>
                <w:rFonts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事后监管；实施机关作出决定当日应通知申请人，及时向申请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人颁发、送达审批服务事项办理结果。实施机关作出决定当日应通知申请人，及时向申请</w:t>
            </w:r>
            <w:r>
              <w:rPr>
                <w:rFonts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人颁发、送达审批服务事项办理结果。</w:t>
            </w:r>
          </w:p>
          <w:p w14:paraId="33E9D677">
            <w:pPr>
              <w:rPr>
                <w:rFonts w:ascii="Arial"/>
              </w:rPr>
            </w:pPr>
          </w:p>
        </w:tc>
        <w:tc>
          <w:tcPr>
            <w:tcW w:w="1620" w:type="dxa"/>
          </w:tcPr>
          <w:p w14:paraId="35AE6CEA">
            <w:pPr>
              <w:rPr>
                <w:rFonts w:ascii="Arial"/>
              </w:rPr>
            </w:pPr>
          </w:p>
        </w:tc>
        <w:tc>
          <w:tcPr>
            <w:tcW w:w="1695" w:type="dxa"/>
          </w:tcPr>
          <w:p w14:paraId="4166D71B">
            <w:pPr>
              <w:rPr>
                <w:sz w:val="28"/>
                <w:szCs w:val="28"/>
              </w:rPr>
            </w:pPr>
          </w:p>
          <w:p w14:paraId="243A78D2">
            <w:pPr>
              <w:rPr>
                <w:sz w:val="28"/>
                <w:szCs w:val="28"/>
              </w:rPr>
            </w:pPr>
          </w:p>
          <w:p w14:paraId="49BAA8D2">
            <w:pPr>
              <w:rPr>
                <w:sz w:val="28"/>
                <w:szCs w:val="28"/>
              </w:rPr>
            </w:pPr>
          </w:p>
          <w:p w14:paraId="49E7A325">
            <w:pPr>
              <w:rPr>
                <w:sz w:val="28"/>
                <w:szCs w:val="28"/>
              </w:rPr>
            </w:pPr>
          </w:p>
          <w:p w14:paraId="1D866DF2">
            <w:pPr>
              <w:rPr>
                <w:sz w:val="28"/>
                <w:szCs w:val="28"/>
              </w:rPr>
            </w:pPr>
          </w:p>
          <w:p w14:paraId="34114EF3">
            <w:pPr>
              <w:rPr>
                <w:sz w:val="28"/>
                <w:szCs w:val="28"/>
              </w:rPr>
            </w:pPr>
          </w:p>
          <w:p w14:paraId="36A2DFC9">
            <w:pPr>
              <w:rPr>
                <w:sz w:val="28"/>
                <w:szCs w:val="28"/>
              </w:rPr>
            </w:pPr>
          </w:p>
          <w:p w14:paraId="51130534">
            <w:pPr>
              <w:rPr>
                <w:sz w:val="28"/>
                <w:szCs w:val="28"/>
              </w:rPr>
            </w:pPr>
          </w:p>
          <w:p w14:paraId="38A83EA7">
            <w:pPr>
              <w:rPr>
                <w:sz w:val="28"/>
                <w:szCs w:val="28"/>
              </w:rPr>
            </w:pPr>
            <w:r>
              <w:rPr>
                <w:rFonts w:hint="eastAsia" w:cs="宋体"/>
                <w:sz w:val="28"/>
                <w:szCs w:val="28"/>
              </w:rPr>
              <w:t>人防中心</w:t>
            </w:r>
          </w:p>
          <w:p w14:paraId="51050542">
            <w:pPr>
              <w:rPr>
                <w:rFonts w:ascii="Arial"/>
              </w:rPr>
            </w:pPr>
            <w:r>
              <w:rPr>
                <w:rFonts w:hint="eastAsia" w:cs="宋体"/>
                <w:sz w:val="28"/>
                <w:szCs w:val="28"/>
              </w:rPr>
              <w:t>工程股</w:t>
            </w:r>
          </w:p>
        </w:tc>
      </w:tr>
      <w:tr w14:paraId="2B3A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5465" w:type="dxa"/>
            <w:gridSpan w:val="8"/>
          </w:tcPr>
          <w:p w14:paraId="404701F9">
            <w:pPr>
              <w:spacing w:line="248" w:lineRule="auto"/>
              <w:rPr>
                <w:rFonts w:ascii="Arial"/>
              </w:rPr>
            </w:pPr>
          </w:p>
          <w:p w14:paraId="680E628E">
            <w:pPr>
              <w:spacing w:before="78" w:line="226" w:lineRule="auto"/>
              <w:ind w:left="5"/>
              <w:rPr>
                <w:rFonts w:ascii="宋体"/>
                <w:sz w:val="24"/>
                <w:szCs w:val="24"/>
              </w:rPr>
            </w:pPr>
            <w:r>
              <w:rPr>
                <w:rFonts w:hint="eastAsia" w:ascii="宋体" w:hAnsi="宋体" w:cs="宋体"/>
                <w:spacing w:val="7"/>
                <w:sz w:val="24"/>
                <w:szCs w:val="24"/>
              </w:rPr>
              <w:t>服务电话：</w:t>
            </w:r>
            <w:r>
              <w:rPr>
                <w:rFonts w:ascii="仿宋_GB2312" w:hAnsi="仿宋_GB2312" w:eastAsia="仿宋_GB2312" w:cs="仿宋_GB2312"/>
                <w:sz w:val="24"/>
                <w:szCs w:val="24"/>
                <w:shd w:val="clear" w:color="070000" w:fill="FFFFFF"/>
              </w:rPr>
              <w:t xml:space="preserve"> 0377-66887352   </w:t>
            </w:r>
            <w:r>
              <w:rPr>
                <w:rFonts w:hint="eastAsia" w:ascii="宋体" w:hAnsi="宋体" w:cs="宋体"/>
                <w:spacing w:val="7"/>
                <w:sz w:val="24"/>
                <w:szCs w:val="24"/>
              </w:rPr>
              <w:t>投诉机构：</w:t>
            </w:r>
            <w:r>
              <w:rPr>
                <w:rFonts w:hint="eastAsia" w:ascii="宋体" w:hAnsi="宋体" w:cs="宋体"/>
                <w:spacing w:val="1"/>
                <w:sz w:val="24"/>
                <w:szCs w:val="24"/>
              </w:rPr>
              <w:t>南召县人防中心</w:t>
            </w:r>
            <w:r>
              <w:rPr>
                <w:rFonts w:ascii="宋体" w:hAnsi="宋体" w:cs="宋体"/>
                <w:spacing w:val="1"/>
                <w:sz w:val="24"/>
                <w:szCs w:val="24"/>
              </w:rPr>
              <w:t xml:space="preserve">  </w:t>
            </w:r>
            <w:r>
              <w:rPr>
                <w:rFonts w:hint="eastAsia" w:ascii="宋体" w:hAnsi="宋体" w:cs="宋体"/>
                <w:spacing w:val="7"/>
                <w:sz w:val="24"/>
                <w:szCs w:val="24"/>
              </w:rPr>
              <w:t>投诉电话：</w:t>
            </w:r>
            <w:r>
              <w:rPr>
                <w:rFonts w:ascii="仿宋_GB2312" w:hAnsi="仿宋_GB2312" w:eastAsia="仿宋_GB2312" w:cs="仿宋_GB2312"/>
                <w:sz w:val="24"/>
                <w:szCs w:val="24"/>
                <w:shd w:val="clear" w:color="070000" w:fill="FFFFFF"/>
              </w:rPr>
              <w:t>0377-</w:t>
            </w:r>
            <w:r>
              <w:rPr>
                <w:rFonts w:hint="eastAsia" w:ascii="仿宋_GB2312" w:hAnsi="仿宋_GB2312" w:eastAsia="仿宋_GB2312" w:cs="仿宋_GB2312"/>
                <w:sz w:val="24"/>
                <w:szCs w:val="24"/>
                <w:shd w:val="clear" w:color="070000" w:fill="FFFFFF"/>
                <w:lang w:val="en-US" w:eastAsia="zh-CN"/>
              </w:rPr>
              <w:t>66688388</w:t>
            </w:r>
            <w:r>
              <w:rPr>
                <w:rFonts w:ascii="仿宋_GB2312" w:hAnsi="仿宋_GB2312" w:eastAsia="仿宋_GB2312" w:cs="仿宋_GB2312"/>
                <w:sz w:val="24"/>
                <w:szCs w:val="24"/>
                <w:shd w:val="clear" w:color="070000" w:fill="FFFFFF"/>
              </w:rPr>
              <w:t xml:space="preserve">  </w:t>
            </w:r>
          </w:p>
        </w:tc>
      </w:tr>
      <w:tr w14:paraId="6CC0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5465" w:type="dxa"/>
            <w:gridSpan w:val="8"/>
          </w:tcPr>
          <w:p w14:paraId="5BB78AE2">
            <w:pPr>
              <w:spacing w:line="262" w:lineRule="auto"/>
              <w:rPr>
                <w:rFonts w:ascii="Arial"/>
              </w:rPr>
            </w:pPr>
          </w:p>
          <w:p w14:paraId="66F5AF6B">
            <w:pPr>
              <w:spacing w:before="78" w:line="221" w:lineRule="auto"/>
              <w:ind w:left="5"/>
              <w:rPr>
                <w:rFonts w:ascii="宋体"/>
                <w:sz w:val="24"/>
                <w:szCs w:val="24"/>
              </w:rPr>
            </w:pPr>
            <w:r>
              <w:rPr>
                <w:rFonts w:hint="eastAsia" w:ascii="宋体" w:hAnsi="宋体" w:cs="宋体"/>
                <w:spacing w:val="23"/>
                <w:sz w:val="24"/>
                <w:szCs w:val="24"/>
              </w:rPr>
              <w:t>受理地点：</w:t>
            </w:r>
            <w:r>
              <w:rPr>
                <w:rFonts w:hint="eastAsia" w:ascii="仿宋_GB2312" w:hAnsi="仿宋_GB2312" w:eastAsia="仿宋_GB2312" w:cs="仿宋_GB2312"/>
                <w:sz w:val="24"/>
                <w:szCs w:val="24"/>
                <w:shd w:val="clear" w:color="070000" w:fill="FFFFFF"/>
              </w:rPr>
              <w:t>南召县人民南路综合行政办公大楼东楼三楼</w:t>
            </w:r>
            <w:r>
              <w:rPr>
                <w:rFonts w:ascii="仿宋_GB2312" w:hAnsi="仿宋_GB2312" w:eastAsia="仿宋_GB2312" w:cs="仿宋_GB2312"/>
                <w:sz w:val="24"/>
                <w:szCs w:val="24"/>
                <w:shd w:val="clear" w:color="070000" w:fill="FFFFFF"/>
              </w:rPr>
              <w:t>C14</w:t>
            </w:r>
            <w:r>
              <w:rPr>
                <w:rFonts w:hint="eastAsia" w:ascii="仿宋_GB2312" w:hAnsi="仿宋_GB2312" w:eastAsia="仿宋_GB2312" w:cs="仿宋_GB2312"/>
                <w:sz w:val="24"/>
                <w:szCs w:val="24"/>
                <w:shd w:val="clear" w:color="070000" w:fill="FFFFFF"/>
              </w:rPr>
              <w:t>办公室</w:t>
            </w:r>
            <w:r>
              <w:rPr>
                <w:rFonts w:ascii="仿宋_GB2312" w:hAnsi="仿宋_GB2312" w:eastAsia="仿宋_GB2312" w:cs="仿宋_GB2312"/>
                <w:sz w:val="24"/>
                <w:szCs w:val="24"/>
                <w:shd w:val="clear" w:color="070000" w:fill="FFFFFF"/>
              </w:rPr>
              <w:t xml:space="preserve">  </w:t>
            </w:r>
          </w:p>
        </w:tc>
      </w:tr>
      <w:tr w14:paraId="5960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5465" w:type="dxa"/>
            <w:gridSpan w:val="8"/>
          </w:tcPr>
          <w:p w14:paraId="3F63DA7B">
            <w:pPr>
              <w:spacing w:before="78" w:line="221" w:lineRule="auto"/>
              <w:ind w:left="5"/>
              <w:rPr>
                <w:rFonts w:hint="eastAsia" w:ascii="宋体" w:hAnsi="宋体" w:cs="宋体"/>
                <w:spacing w:val="23"/>
                <w:sz w:val="24"/>
                <w:szCs w:val="24"/>
              </w:rPr>
            </w:pPr>
          </w:p>
          <w:p w14:paraId="2F0AADAC">
            <w:pPr>
              <w:spacing w:before="78" w:line="221" w:lineRule="auto"/>
              <w:ind w:left="5"/>
              <w:rPr>
                <w:rFonts w:hint="eastAsia" w:ascii="宋体" w:hAnsi="宋体" w:cs="宋体"/>
                <w:spacing w:val="23"/>
                <w:sz w:val="24"/>
                <w:szCs w:val="24"/>
              </w:rPr>
            </w:pPr>
          </w:p>
          <w:p w14:paraId="2B6872AE">
            <w:pPr>
              <w:spacing w:before="78" w:line="221" w:lineRule="auto"/>
              <w:ind w:left="5"/>
              <w:rPr>
                <w:rFonts w:hint="eastAsia" w:ascii="宋体" w:hAnsi="宋体" w:cs="宋体"/>
                <w:spacing w:val="23"/>
                <w:sz w:val="24"/>
                <w:szCs w:val="24"/>
              </w:rPr>
            </w:pPr>
          </w:p>
        </w:tc>
      </w:tr>
    </w:tbl>
    <w:p w14:paraId="54F38097">
      <w:pPr>
        <w:widowControl/>
        <w:adjustRightInd w:val="0"/>
        <w:snapToGrid w:val="0"/>
        <w:spacing w:line="240" w:lineRule="auto"/>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drawing>
          <wp:inline distT="0" distB="0" distL="114300" distR="114300">
            <wp:extent cx="7207885" cy="5615940"/>
            <wp:effectExtent l="0" t="0" r="12065" b="3810"/>
            <wp:docPr id="4" name="图片 4" descr="3edaf9a72b8c41247c7b40e5f02f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edaf9a72b8c41247c7b40e5f02fef7"/>
                    <pic:cNvPicPr>
                      <a:picLocks noChangeAspect="1"/>
                    </pic:cNvPicPr>
                  </pic:nvPicPr>
                  <pic:blipFill>
                    <a:blip r:embed="rId5"/>
                    <a:stretch>
                      <a:fillRect/>
                    </a:stretch>
                  </pic:blipFill>
                  <pic:spPr>
                    <a:xfrm>
                      <a:off x="0" y="0"/>
                      <a:ext cx="7207885" cy="5615940"/>
                    </a:xfrm>
                    <a:prstGeom prst="rect">
                      <a:avLst/>
                    </a:prstGeom>
                  </pic:spPr>
                </pic:pic>
              </a:graphicData>
            </a:graphic>
          </wp:inline>
        </w:drawing>
      </w:r>
    </w:p>
    <w:p w14:paraId="1C1D3B3D">
      <w:pPr>
        <w:widowControl/>
        <w:adjustRightInd w:val="0"/>
        <w:snapToGrid w:val="0"/>
        <w:spacing w:line="240" w:lineRule="auto"/>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drawing>
          <wp:inline distT="0" distB="0" distL="114300" distR="114300">
            <wp:extent cx="8740140" cy="4847590"/>
            <wp:effectExtent l="0" t="0" r="3810" b="10160"/>
            <wp:docPr id="5" name="图片 5" descr="64eca422aaa1cf2e48e7febed99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4eca422aaa1cf2e48e7febed997141"/>
                    <pic:cNvPicPr>
                      <a:picLocks noChangeAspect="1"/>
                    </pic:cNvPicPr>
                  </pic:nvPicPr>
                  <pic:blipFill>
                    <a:blip r:embed="rId6"/>
                    <a:stretch>
                      <a:fillRect/>
                    </a:stretch>
                  </pic:blipFill>
                  <pic:spPr>
                    <a:xfrm>
                      <a:off x="0" y="0"/>
                      <a:ext cx="8740140" cy="4847590"/>
                    </a:xfrm>
                    <a:prstGeom prst="rect">
                      <a:avLst/>
                    </a:prstGeom>
                  </pic:spPr>
                </pic:pic>
              </a:graphicData>
            </a:graphic>
          </wp:inline>
        </w:drawing>
      </w:r>
    </w:p>
    <w:sectPr>
      <w:pgSz w:w="16838" w:h="11906" w:orient="landscape"/>
      <w:pgMar w:top="1587" w:right="1531" w:bottom="1474" w:left="1531"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ingFangSC-Medium">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大标宋_GBK">
    <w:altName w:val="方正书宋_GBK"/>
    <w:panose1 w:val="00000000000000000000"/>
    <w:charset w:val="86"/>
    <w:family w:val="auto"/>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E9CC">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43D57">
                          <w:pPr>
                            <w:snapToGrid w:val="0"/>
                            <w:rPr>
                              <w:sz w:val="18"/>
                              <w:szCs w:val="18"/>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t>- 56 -</w:t>
                          </w:r>
                          <w:r>
                            <w:rPr>
                              <w:rFonts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UWQsgBAACY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19fZ&#10;nT5AjU0PAdvScOeH3DnlAZNZ9KCizW+UQ7CO3p6v3sohEZE/Wq/W6wpLAmvzAXHY4+chQnorvSU5&#10;aGjEyyue8tN7SGPr3JKnOX+vjcE8r437K4GYOcMy95FjjtKwHybie9+eUU+P995Qh2tOiXnn0Na8&#10;InMQ52A/B8cQ9aFDasvCC8LtMSGJwi1PGGGnwXhhRd20XHkj/jyXrsc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UFFkLIAQAAmAMAAA4AAAAAAAAAAQAgAAAAHgEAAGRycy9lMm9Eb2Mu&#10;eG1sUEsFBgAAAAAGAAYAWQEAAFgFAAAAAA==&#10;">
              <v:fill on="f" focussize="0,0"/>
              <v:stroke on="f"/>
              <v:imagedata o:title=""/>
              <o:lock v:ext="edit" aspectratio="f"/>
              <v:textbox inset="0mm,0mm,0mm,0mm" style="mso-fit-shape-to-text:t;">
                <w:txbxContent>
                  <w:p w14:paraId="79343D57">
                    <w:pPr>
                      <w:snapToGrid w:val="0"/>
                      <w:rPr>
                        <w:sz w:val="18"/>
                        <w:szCs w:val="18"/>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t>- 56 -</w:t>
                    </w:r>
                    <w:r>
                      <w:rPr>
                        <w:rFonts w:ascii="宋体" w:hAnsi="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60ED6"/>
    <w:multiLevelType w:val="singleLevel"/>
    <w:tmpl w:val="E1760E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64"/>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WFiMzM3ODVjNzZiYTc3OGExN2UwNTdjODY4ZDcifQ=="/>
  </w:docVars>
  <w:rsids>
    <w:rsidRoot w:val="008B0F4F"/>
    <w:rsid w:val="000260CB"/>
    <w:rsid w:val="000F30CA"/>
    <w:rsid w:val="001B2507"/>
    <w:rsid w:val="00201DEB"/>
    <w:rsid w:val="0025764A"/>
    <w:rsid w:val="00262463"/>
    <w:rsid w:val="00317272"/>
    <w:rsid w:val="003A50C9"/>
    <w:rsid w:val="005C48E3"/>
    <w:rsid w:val="00644661"/>
    <w:rsid w:val="006A6ECE"/>
    <w:rsid w:val="006C4CF1"/>
    <w:rsid w:val="008B0F4F"/>
    <w:rsid w:val="008F4379"/>
    <w:rsid w:val="009115FF"/>
    <w:rsid w:val="00967BD3"/>
    <w:rsid w:val="00971707"/>
    <w:rsid w:val="009A0231"/>
    <w:rsid w:val="00A54D57"/>
    <w:rsid w:val="00AA4A57"/>
    <w:rsid w:val="00AB165E"/>
    <w:rsid w:val="00B4205E"/>
    <w:rsid w:val="00CB0EF2"/>
    <w:rsid w:val="00D13BDC"/>
    <w:rsid w:val="00D36A94"/>
    <w:rsid w:val="00D44C81"/>
    <w:rsid w:val="00EA67C8"/>
    <w:rsid w:val="00F379FC"/>
    <w:rsid w:val="00FB6808"/>
    <w:rsid w:val="0289719C"/>
    <w:rsid w:val="07541319"/>
    <w:rsid w:val="0A2E2739"/>
    <w:rsid w:val="0B3A750D"/>
    <w:rsid w:val="0F4601D2"/>
    <w:rsid w:val="0FEC7C74"/>
    <w:rsid w:val="147E306D"/>
    <w:rsid w:val="16C64DFA"/>
    <w:rsid w:val="199E17EA"/>
    <w:rsid w:val="1A586DB6"/>
    <w:rsid w:val="1ACD7EB3"/>
    <w:rsid w:val="1E753D9E"/>
    <w:rsid w:val="24C95AC2"/>
    <w:rsid w:val="25036248"/>
    <w:rsid w:val="29F23E8A"/>
    <w:rsid w:val="2B3640E1"/>
    <w:rsid w:val="2FCB73F9"/>
    <w:rsid w:val="32AE2B62"/>
    <w:rsid w:val="354769DA"/>
    <w:rsid w:val="3AEC66D3"/>
    <w:rsid w:val="3D8246B8"/>
    <w:rsid w:val="3E2F5EB9"/>
    <w:rsid w:val="42EA7785"/>
    <w:rsid w:val="46B41C81"/>
    <w:rsid w:val="5B351384"/>
    <w:rsid w:val="64DC2E4C"/>
    <w:rsid w:val="6787315C"/>
    <w:rsid w:val="690F53A7"/>
    <w:rsid w:val="6BF6296D"/>
    <w:rsid w:val="6C630846"/>
    <w:rsid w:val="6DC54B9A"/>
    <w:rsid w:val="791800B8"/>
    <w:rsid w:val="7BBD4F47"/>
    <w:rsid w:val="7CFF19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pPr>
      <w:spacing w:after="120"/>
    </w:pPr>
    <w:rPr>
      <w:rFonts w:ascii="Calibri" w:hAnsi="Calibri" w:cs="Calibri"/>
      <w:kern w:val="0"/>
      <w:sz w:val="20"/>
      <w:szCs w:val="20"/>
    </w:rPr>
  </w:style>
  <w:style w:type="paragraph" w:styleId="3">
    <w:name w:val="Plain Text"/>
    <w:basedOn w:val="1"/>
    <w:link w:val="13"/>
    <w:qFormat/>
    <w:uiPriority w:val="99"/>
    <w:rPr>
      <w:rFonts w:ascii="宋体" w:hAnsi="Courier New" w:cs="宋体"/>
      <w:kern w:val="0"/>
      <w:sz w:val="20"/>
      <w:szCs w:val="20"/>
    </w:rPr>
  </w:style>
  <w:style w:type="paragraph" w:styleId="4">
    <w:name w:val="Balloon Text"/>
    <w:basedOn w:val="1"/>
    <w:link w:val="14"/>
    <w:semiHidden/>
    <w:qFormat/>
    <w:uiPriority w:val="99"/>
    <w:rPr>
      <w:kern w:val="0"/>
      <w:sz w:val="18"/>
      <w:szCs w:val="18"/>
    </w:rPr>
  </w:style>
  <w:style w:type="paragraph" w:styleId="5">
    <w:name w:val="footer"/>
    <w:basedOn w:val="1"/>
    <w:link w:val="15"/>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spacing w:beforeAutospacing="1" w:afterAutospacing="1"/>
      <w:jc w:val="left"/>
    </w:pPr>
    <w:rPr>
      <w:rFonts w:ascii="Calibri" w:hAnsi="Calibri" w:cs="Calibri"/>
      <w:kern w:val="0"/>
      <w:sz w:val="24"/>
      <w:szCs w:val="24"/>
    </w:rPr>
  </w:style>
  <w:style w:type="character" w:styleId="10">
    <w:name w:val="Strong"/>
    <w:basedOn w:val="9"/>
    <w:qFormat/>
    <w:locked/>
    <w:uiPriority w:val="22"/>
    <w:rPr>
      <w:b/>
    </w:rPr>
  </w:style>
  <w:style w:type="character" w:styleId="11">
    <w:name w:val="Hyperlink"/>
    <w:basedOn w:val="9"/>
    <w:qFormat/>
    <w:uiPriority w:val="99"/>
    <w:rPr>
      <w:color w:val="0000FF"/>
      <w:u w:val="single"/>
    </w:rPr>
  </w:style>
  <w:style w:type="character" w:customStyle="1" w:styleId="12">
    <w:name w:val="Body Text Char"/>
    <w:basedOn w:val="9"/>
    <w:link w:val="2"/>
    <w:qFormat/>
    <w:locked/>
    <w:uiPriority w:val="99"/>
    <w:rPr>
      <w:rFonts w:ascii="Calibri" w:hAnsi="Calibri" w:eastAsia="宋体" w:cs="Calibri"/>
    </w:rPr>
  </w:style>
  <w:style w:type="character" w:customStyle="1" w:styleId="13">
    <w:name w:val="Plain Text Char"/>
    <w:basedOn w:val="9"/>
    <w:link w:val="3"/>
    <w:qFormat/>
    <w:locked/>
    <w:uiPriority w:val="99"/>
    <w:rPr>
      <w:rFonts w:ascii="宋体" w:hAnsi="Courier New" w:eastAsia="宋体" w:cs="宋体"/>
    </w:rPr>
  </w:style>
  <w:style w:type="character" w:customStyle="1" w:styleId="14">
    <w:name w:val="Balloon Text Char"/>
    <w:basedOn w:val="9"/>
    <w:link w:val="4"/>
    <w:qFormat/>
    <w:locked/>
    <w:uiPriority w:val="99"/>
    <w:rPr>
      <w:rFonts w:ascii="Times New Roman" w:hAnsi="Times New Roman" w:eastAsia="宋体" w:cs="Times New Roman"/>
      <w:sz w:val="18"/>
      <w:szCs w:val="18"/>
    </w:rPr>
  </w:style>
  <w:style w:type="character" w:customStyle="1" w:styleId="15">
    <w:name w:val="Footer Char"/>
    <w:basedOn w:val="9"/>
    <w:link w:val="5"/>
    <w:qFormat/>
    <w:locked/>
    <w:uiPriority w:val="99"/>
    <w:rPr>
      <w:rFonts w:ascii="Times New Roman" w:hAnsi="Times New Roman" w:eastAsia="宋体" w:cs="Times New Roman"/>
      <w:sz w:val="18"/>
      <w:szCs w:val="18"/>
    </w:rPr>
  </w:style>
  <w:style w:type="character" w:customStyle="1" w:styleId="16">
    <w:name w:val="Header Char"/>
    <w:basedOn w:val="9"/>
    <w:link w:val="6"/>
    <w:qFormat/>
    <w:locked/>
    <w:uiPriority w:val="99"/>
    <w:rPr>
      <w:rFonts w:ascii="Times New Roman" w:hAnsi="Times New Roman" w:eastAsia="宋体" w:cs="Times New Roman"/>
      <w:sz w:val="18"/>
      <w:szCs w:val="18"/>
    </w:rPr>
  </w:style>
  <w:style w:type="paragraph" w:customStyle="1" w:styleId="17">
    <w:name w:val="普通(网站)1"/>
    <w:basedOn w:val="1"/>
    <w:qFormat/>
    <w:uiPriority w:val="99"/>
    <w:pPr>
      <w:spacing w:beforeAutospacing="1" w:afterAutospacing="1"/>
      <w:jc w:val="left"/>
    </w:pPr>
    <w:rPr>
      <w:rFonts w:ascii="Calibri" w:hAnsi="Calibri" w:cs="Calibri"/>
      <w:kern w:val="0"/>
      <w:sz w:val="24"/>
      <w:szCs w:val="24"/>
    </w:rPr>
  </w:style>
  <w:style w:type="character" w:customStyle="1" w:styleId="18">
    <w:name w:val="font21"/>
    <w:basedOn w:val="9"/>
    <w:qFormat/>
    <w:uiPriority w:val="99"/>
    <w:rPr>
      <w:rFonts w:ascii="仿宋_GB2312" w:eastAsia="仿宋_GB2312" w:cs="仿宋_GB2312"/>
      <w:color w:val="000000"/>
      <w:sz w:val="20"/>
      <w:szCs w:val="20"/>
      <w:u w:val="none"/>
    </w:rPr>
  </w:style>
  <w:style w:type="character" w:customStyle="1" w:styleId="19">
    <w:name w:val="font31"/>
    <w:basedOn w:val="9"/>
    <w:qFormat/>
    <w:uiPriority w:val="99"/>
    <w:rPr>
      <w:rFonts w:ascii="PingFangSC-Medium" w:hAnsi="PingFangSC-Medium" w:eastAsia="Times New Roman" w:cs="PingFangSC-Medium"/>
      <w:color w:val="000000"/>
      <w:sz w:val="27"/>
      <w:szCs w:val="27"/>
      <w:u w:val="none"/>
    </w:rPr>
  </w:style>
  <w:style w:type="table" w:customStyle="1" w:styleId="20">
    <w:name w:val="Table Normal1"/>
    <w:semiHidden/>
    <w:qFormat/>
    <w:uiPriority w:val="99"/>
    <w:rPr>
      <w:kern w:val="0"/>
      <w:sz w:val="20"/>
      <w:szCs w:val="20"/>
    </w:rPr>
    <w:tblPr>
      <w:tblCellMar>
        <w:top w:w="0" w:type="dxa"/>
        <w:left w:w="0" w:type="dxa"/>
        <w:bottom w:w="0" w:type="dxa"/>
        <w:right w:w="0" w:type="dxa"/>
      </w:tblCellMar>
    </w:tblPr>
  </w:style>
  <w:style w:type="character" w:customStyle="1" w:styleId="21">
    <w:name w:val="font01"/>
    <w:basedOn w:val="9"/>
    <w:qFormat/>
    <w:uiPriority w:val="99"/>
    <w:rPr>
      <w:rFonts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52</Pages>
  <Words>27376</Words>
  <Characters>28559</Characters>
  <Lines>0</Lines>
  <Paragraphs>0</Paragraphs>
  <TotalTime>46</TotalTime>
  <ScaleCrop>false</ScaleCrop>
  <LinksUpToDate>false</LinksUpToDate>
  <CharactersWithSpaces>29685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2024-09-24T16:27:00Z</dcterms:created>
  <dc:creator>Administrator</dc:creator>
  <cp:lastModifiedBy>wsy</cp:lastModifiedBy>
  <cp:lastPrinted>2025-12-08T17:32:00Z</cp:lastPrinted>
  <dcterms:modified xsi:type="dcterms:W3CDTF">2025-12-12T10:03:47Z</dcterms:modified>
  <dc:title>方编办〔2023〕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27B46F688E4D41D898C4471DDE6D4E7E_13</vt:lpwstr>
  </property>
  <property fmtid="{D5CDD505-2E9C-101B-9397-08002B2CF9AE}" pid="4" name="KSOTemplateDocerSaveRecord">
    <vt:lpwstr>eyJoZGlkIjoiYzYyZjViYzY3ZWJjN2NlNzE1NTFkNGZiYmM4ZDE4ODciLCJ1c2VySWQiOiIyNTEzMTAyNTAifQ==</vt:lpwstr>
  </property>
</Properties>
</file>