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sz w:val="44"/>
          <w:szCs w:val="44"/>
          <w:shd w:val="clear" w:fill="FFFFFF"/>
          <w:lang w:val="en-US" w:eastAsia="zh-CN"/>
        </w:rPr>
        <w:t>南召县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30"/>
          <w:sz w:val="44"/>
          <w:szCs w:val="44"/>
          <w:shd w:val="clear" w:fill="FFFFFF"/>
        </w:rPr>
        <w:t>人民政府重大行政决策事项后评估结果</w:t>
      </w:r>
    </w:p>
    <w:p w14:paraId="39C2AE94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E84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为进一步加强对重大行政决策实施情况的监督管理，有效提高决策科学化、民主化水平，根据《南阳市重大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行政决策实施情况跟踪反馈与后评估办法》（宛政办〔2022〕57号）有关规定，对202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年度政府重大行政决策事项进行后评估工作，现将评估结果予以公布。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475"/>
        <w:gridCol w:w="2925"/>
        <w:gridCol w:w="2131"/>
      </w:tblGrid>
      <w:tr w14:paraId="65F8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 w14:paraId="07E16BC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 w14:paraId="3FC5DA2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2925" w:type="dxa"/>
            <w:vAlign w:val="center"/>
          </w:tcPr>
          <w:p w14:paraId="34AC5E0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评估结果</w:t>
            </w:r>
          </w:p>
        </w:tc>
        <w:tc>
          <w:tcPr>
            <w:tcW w:w="2131" w:type="dxa"/>
            <w:vAlign w:val="center"/>
          </w:tcPr>
          <w:p w14:paraId="60E4606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评估部门</w:t>
            </w:r>
          </w:p>
        </w:tc>
      </w:tr>
      <w:tr w14:paraId="46BD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91" w:type="dxa"/>
            <w:vAlign w:val="center"/>
          </w:tcPr>
          <w:p w14:paraId="28F3A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76BF0BD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南召县城区防洪排涝应急预案</w:t>
            </w:r>
          </w:p>
        </w:tc>
        <w:tc>
          <w:tcPr>
            <w:tcW w:w="2925" w:type="dxa"/>
            <w:vAlign w:val="center"/>
          </w:tcPr>
          <w:p w14:paraId="3F75E184">
            <w:pPr>
              <w:pStyle w:val="2"/>
              <w:spacing w:before="198" w:line="323" w:lineRule="auto"/>
              <w:jc w:val="both"/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通过总体评估，评估小组对《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val="en-US" w:eastAsia="zh-CN"/>
              </w:rPr>
              <w:t>应急预案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》整体评估结论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是：较好。《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应急预案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》的制定过程符合省、市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关于规范性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</w:rPr>
              <w:t>文件法定程序，内容契合全</w:t>
            </w:r>
            <w:r>
              <w:rPr>
                <w:rFonts w:hint="eastAsia" w:ascii="仿宋" w:hAnsi="仿宋" w:eastAsia="仿宋" w:cs="仿宋"/>
                <w:spacing w:val="12"/>
                <w:sz w:val="32"/>
                <w:szCs w:val="32"/>
                <w:lang w:val="en-US" w:eastAsia="zh-CN"/>
              </w:rPr>
              <w:t>县防洪实际，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拟定的目标具有较高的合理性与较强的可操作性，在实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</w:rPr>
              <w:t>施过程中</w:t>
            </w:r>
            <w:r>
              <w:rPr>
                <w:rFonts w:hint="eastAsia" w:ascii="仿宋" w:hAnsi="仿宋" w:eastAsia="仿宋" w:cs="仿宋"/>
                <w:spacing w:val="13"/>
                <w:sz w:val="32"/>
                <w:szCs w:val="32"/>
                <w:lang w:val="en-US" w:eastAsia="zh-CN"/>
              </w:rPr>
              <w:t>能及时快速的处理汛情、险情，有效的保证了群众的生命财产安全，为全县防洪工作打下了基础。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建议继续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施行。</w:t>
            </w:r>
          </w:p>
          <w:p w14:paraId="62180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55BD18F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南召县城市管理局</w:t>
            </w:r>
          </w:p>
        </w:tc>
      </w:tr>
      <w:tr w14:paraId="0263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1" w:type="dxa"/>
            <w:vAlign w:val="center"/>
          </w:tcPr>
          <w:p w14:paraId="3E233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 w14:paraId="58C471D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南召县2024年蓝天保卫战、南召县2024年碧水保卫战、南召县净土保卫战、南召县2024年柴油货车污染治理攻坚战</w:t>
            </w:r>
          </w:p>
        </w:tc>
        <w:tc>
          <w:tcPr>
            <w:tcW w:w="2925" w:type="dxa"/>
            <w:vAlign w:val="center"/>
          </w:tcPr>
          <w:p w14:paraId="754E9C3E">
            <w:pPr>
              <w:pStyle w:val="2"/>
              <w:keepNext w:val="0"/>
              <w:keepLines w:val="0"/>
              <w:pageBreakBefore w:val="0"/>
              <w:wordWrap/>
              <w:overflowPunct/>
              <w:bidi w:val="0"/>
              <w:adjustRightInd w:val="0"/>
              <w:snapToGrid w:val="0"/>
              <w:spacing w:line="560" w:lineRule="exac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通过总体评估，评估小组对《实施方案》的初步评估结论是：良好。该方案制定过程符合重大行政决策相关要求，内容合法合理，与上级政策协调一致，任务部署系统全面，操作性强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对全县打赢蓝天保卫战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碧水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保卫战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净土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保卫战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、柴油货车污染治理攻坚战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en-US"/>
              </w:rPr>
              <w:t>方面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起到了关键的指导与推动作用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方案实施以来，工作机制运转有效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重点领域治理措施逐步落地，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在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环境空气质量改善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水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环境质量改善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土壤和农业农村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环境质量改善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en-US"/>
              </w:rPr>
              <w:t>公共交通新能源化替代、柴油货车常态化监管、非道路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移动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en-US"/>
              </w:rPr>
              <w:t>机械精准管控等</w:t>
            </w: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2"/>
                <w:sz w:val="32"/>
                <w:szCs w:val="32"/>
                <w:highlight w:val="none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取得阶段性成效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32"/>
                <w:szCs w:val="32"/>
                <w:lang w:val="en-US" w:eastAsia="en-US" w:bidi="ar-SA"/>
              </w:rPr>
              <w:t>建议继续全面施行，并依据年度执行情况进行动态优化。</w:t>
            </w:r>
          </w:p>
        </w:tc>
        <w:tc>
          <w:tcPr>
            <w:tcW w:w="2131" w:type="dxa"/>
            <w:vAlign w:val="center"/>
          </w:tcPr>
          <w:p w14:paraId="3A1961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南阳市生态环境局南召分局</w:t>
            </w:r>
          </w:p>
        </w:tc>
      </w:tr>
    </w:tbl>
    <w:p w14:paraId="7CD8B9C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0E5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C7D89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C7D89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6B0A"/>
    <w:rsid w:val="109202F8"/>
    <w:rsid w:val="192B12EA"/>
    <w:rsid w:val="28956CE3"/>
    <w:rsid w:val="2CA156F3"/>
    <w:rsid w:val="357E2A76"/>
    <w:rsid w:val="43C55D14"/>
    <w:rsid w:val="44114C68"/>
    <w:rsid w:val="558A2919"/>
    <w:rsid w:val="56186177"/>
    <w:rsid w:val="59AD6BD6"/>
    <w:rsid w:val="61573FF7"/>
    <w:rsid w:val="63412DD7"/>
    <w:rsid w:val="6CAE2F39"/>
    <w:rsid w:val="6D5574C2"/>
    <w:rsid w:val="705F4C76"/>
    <w:rsid w:val="7C4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636</Words>
  <Characters>655</Characters>
  <Lines>0</Lines>
  <Paragraphs>0</Paragraphs>
  <TotalTime>0</TotalTime>
  <ScaleCrop>false</ScaleCrop>
  <LinksUpToDate>false</LinksUpToDate>
  <CharactersWithSpaces>655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2026-01-23T03:30:00Z</dcterms:created>
  <dc:creator>李旭</dc:creator>
  <cp:lastModifiedBy>稻草人</cp:lastModifiedBy>
  <dcterms:modified xsi:type="dcterms:W3CDTF">2026-01-23T06:48:45Z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eyJoZGlkIjoiM2E2YmI4ZWYyMmFjZTFkNGFiZjI1YTBjNjYyYTA5NTEiLCJ1c2VySWQiOiI3MDk1NzY5NzEifQ==</vt:lpwstr>
  </property>
  <property fmtid="{D5CDD505-2E9C-101B-9397-08002B2CF9AE}" pid="4" name="ICV">
    <vt:lpwstr>049B702539DA438FBD8CCA095964CD94_12</vt:lpwstr>
  </property>
</Properties>
</file>