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220" w:rsidRDefault="00E94F49" w:rsidP="0015262D">
      <w:pPr>
        <w:pStyle w:val="1"/>
        <w:spacing w:line="620" w:lineRule="exact"/>
        <w:ind w:firstLineChars="150" w:firstLine="660"/>
        <w:rPr>
          <w:rFonts w:ascii="方正小标宋简体" w:eastAsia="方正小标宋简体" w:hAnsi="方正小标宋简体" w:cs="方正小标宋简体"/>
          <w:b/>
          <w:sz w:val="44"/>
          <w:szCs w:val="44"/>
        </w:rPr>
      </w:pPr>
      <w:bookmarkStart w:id="0" w:name="OLE_LINK7"/>
      <w:bookmarkStart w:id="1" w:name="OLE_LINK8"/>
      <w:r>
        <w:rPr>
          <w:rFonts w:ascii="方正小标宋简体" w:eastAsia="方正小标宋简体" w:hAnsi="方正小标宋简体" w:cs="方正小标宋简体" w:hint="eastAsia"/>
          <w:b/>
          <w:sz w:val="44"/>
          <w:szCs w:val="44"/>
        </w:rPr>
        <w:t>南召县推动农村客货邮融合发展扩面提质</w:t>
      </w:r>
    </w:p>
    <w:p w:rsidR="00806220" w:rsidRDefault="00E94F49">
      <w:pPr>
        <w:pStyle w:val="1"/>
        <w:spacing w:line="62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实 施 方 案</w:t>
      </w:r>
      <w:r w:rsidR="009268DE">
        <w:rPr>
          <w:rFonts w:ascii="方正小标宋简体" w:eastAsia="方正小标宋简体" w:hAnsi="方正小标宋简体" w:cs="方正小标宋简体" w:hint="eastAsia"/>
          <w:b/>
          <w:sz w:val="44"/>
          <w:szCs w:val="44"/>
        </w:rPr>
        <w:t>（征求意见稿）</w:t>
      </w:r>
    </w:p>
    <w:p w:rsidR="00806220" w:rsidRDefault="00806220">
      <w:pPr>
        <w:pStyle w:val="a3"/>
        <w:spacing w:after="0" w:line="620" w:lineRule="exact"/>
        <w:rPr>
          <w:rFonts w:ascii="仿宋_GB2312" w:eastAsia="仿宋_GB2312" w:hAnsi="仿宋_GB2312" w:cs="仿宋_GB2312"/>
          <w:sz w:val="32"/>
          <w:szCs w:val="32"/>
        </w:rPr>
      </w:pPr>
    </w:p>
    <w:p w:rsidR="00806220" w:rsidRDefault="00E94F49">
      <w:pPr>
        <w:overflowPunct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为推动我县农村客货邮融合发展扩面提质，助力乡村振兴</w:t>
      </w:r>
      <w:r>
        <w:rPr>
          <w:rFonts w:ascii="仿宋_GB2312" w:eastAsia="仿宋_GB2312" w:hAnsi="仿宋_GB2312" w:cs="仿宋_GB2312" w:hint="eastAsia"/>
          <w:bCs/>
          <w:sz w:val="32"/>
          <w:szCs w:val="32"/>
        </w:rPr>
        <w:t>,依据</w:t>
      </w:r>
      <w:r>
        <w:rPr>
          <w:rFonts w:ascii="仿宋_GB2312" w:eastAsia="仿宋_GB2312" w:hAnsi="仿宋_GB2312" w:cs="仿宋_GB2312" w:hint="eastAsia"/>
          <w:sz w:val="32"/>
          <w:szCs w:val="32"/>
        </w:rPr>
        <w:t>《河南省进一步支持农村客货邮融合发展实施方案》（豫交规〔2025〕7号）、《关于推动全省农村客货邮融合发展扩面提质的通知》（豫交规〔2025〕17号）和《南阳市人民政府办公室关于印发南阳市建设高质量邮政快递物流体系助力乡村全面振兴实施方案的通知》（宛政办〔2025〕17号）</w:t>
      </w:r>
      <w:r>
        <w:rPr>
          <w:rFonts w:ascii="仿宋_GB2312" w:eastAsia="仿宋_GB2312" w:hAnsi="仿宋_GB2312" w:cs="仿宋_GB2312" w:hint="eastAsia"/>
          <w:bCs/>
          <w:sz w:val="32"/>
          <w:szCs w:val="32"/>
        </w:rPr>
        <w:t>，结合我县实际，特制定本方案。</w:t>
      </w:r>
    </w:p>
    <w:p w:rsidR="00806220" w:rsidRDefault="00E94F49">
      <w:pPr>
        <w:overflowPunct w:val="0"/>
        <w:spacing w:line="6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一、总体目标</w:t>
      </w:r>
    </w:p>
    <w:p w:rsidR="00806220" w:rsidRDefault="00E94F49">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到2026年，全县建成投入使用县级寄递公共配送中心1个、乡镇公共配送综合服务站13个、“一站式”村级寄递物流综合服务点</w:t>
      </w:r>
      <w:r w:rsidR="009268DE">
        <w:rPr>
          <w:rFonts w:ascii="仿宋_GB2312" w:eastAsia="仿宋_GB2312" w:hAnsi="仿宋_GB2312" w:cs="仿宋_GB2312" w:hint="eastAsia"/>
          <w:bCs/>
          <w:sz w:val="32"/>
          <w:szCs w:val="32"/>
        </w:rPr>
        <w:t>262</w:t>
      </w:r>
      <w:r>
        <w:rPr>
          <w:rFonts w:ascii="仿宋_GB2312" w:eastAsia="仿宋_GB2312" w:hAnsi="仿宋_GB2312" w:cs="仿宋_GB2312" w:hint="eastAsia"/>
          <w:bCs/>
          <w:sz w:val="32"/>
          <w:szCs w:val="32"/>
        </w:rPr>
        <w:t>个，融合线路达到7条，到2027年融合线路达到8条，到2028年达到9条，实现县域范围内建制村邮件快件24小时投递送达。全县邮政快递业寄递业务量同比增速提升15%以上，助力乡村振兴成效显著。</w:t>
      </w:r>
    </w:p>
    <w:p w:rsidR="00806220" w:rsidRDefault="00E94F49">
      <w:pPr>
        <w:overflowPunct w:val="0"/>
        <w:spacing w:line="6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二、重点任务</w:t>
      </w:r>
    </w:p>
    <w:p w:rsidR="00806220" w:rsidRDefault="00E94F49">
      <w:pPr>
        <w:overflowPunct w:val="0"/>
        <w:spacing w:line="620" w:lineRule="exact"/>
        <w:rPr>
          <w:rFonts w:ascii="楷体_GB2312" w:eastAsia="楷体_GB2312" w:hAnsi="楷体_GB2312" w:cs="楷体_GB2312"/>
          <w:b/>
          <w:bCs/>
          <w:sz w:val="32"/>
          <w:szCs w:val="32"/>
        </w:rPr>
      </w:pP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
          <w:bCs/>
          <w:sz w:val="32"/>
          <w:szCs w:val="32"/>
        </w:rPr>
        <w:t>（一）夯实基础，全面筑牢融合发展根基</w:t>
      </w:r>
    </w:p>
    <w:p w:rsidR="00806220" w:rsidRDefault="00E94F49" w:rsidP="00AE7191">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1.提升农村路网通达深度。</w:t>
      </w:r>
      <w:r>
        <w:rPr>
          <w:rFonts w:ascii="仿宋_GB2312" w:eastAsia="仿宋_GB2312" w:hAnsi="仿宋_GB2312" w:cs="仿宋_GB2312" w:hint="eastAsia"/>
          <w:sz w:val="32"/>
          <w:szCs w:val="32"/>
        </w:rPr>
        <w:t>实施新一轮农村公路骨干路网提档升级行动，按照三级及以上公路建设标准，打通乡镇、主</w:t>
      </w:r>
      <w:r>
        <w:rPr>
          <w:rFonts w:ascii="仿宋_GB2312" w:eastAsia="仿宋_GB2312" w:hAnsi="仿宋_GB2312" w:cs="仿宋_GB2312" w:hint="eastAsia"/>
          <w:sz w:val="32"/>
          <w:szCs w:val="32"/>
        </w:rPr>
        <w:lastRenderedPageBreak/>
        <w:t>要经济节点对外快速通道，推动农村公路基础路网延伸完善，建设项目更多向进村入户倾斜，因地制宜推进过窄农村公路拓宽改造或错车道建设。（责任单位：县交通运输局、县财政局、各乡镇人民政府）</w:t>
      </w:r>
    </w:p>
    <w:p w:rsidR="00806220" w:rsidRDefault="00E94F49" w:rsidP="00AE719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2.打造县级寄递公共配送中心。</w:t>
      </w:r>
      <w:r>
        <w:rPr>
          <w:rFonts w:ascii="仿宋_GB2312" w:eastAsia="仿宋_GB2312" w:hAnsi="仿宋_GB2312" w:cs="仿宋_GB2312" w:hint="eastAsia"/>
          <w:sz w:val="32"/>
          <w:szCs w:val="32"/>
        </w:rPr>
        <w:t>拟使用位于县开发区内已运营的寄递共配中心，占地</w:t>
      </w:r>
      <w:r>
        <w:rPr>
          <w:rFonts w:ascii="仿宋_GB2312" w:eastAsia="仿宋_GB2312" w:hAnsi="仿宋_GB2312" w:cs="仿宋_GB2312" w:hint="eastAsia"/>
          <w:sz w:val="32"/>
          <w:szCs w:val="32"/>
          <w:u w:val="single" w:color="FFFFFF"/>
        </w:rPr>
        <w:t>30</w:t>
      </w:r>
      <w:r>
        <w:rPr>
          <w:rFonts w:ascii="仿宋_GB2312" w:eastAsia="仿宋_GB2312" w:hAnsi="仿宋_GB2312" w:cs="仿宋_GB2312" w:hint="eastAsia"/>
          <w:sz w:val="32"/>
          <w:szCs w:val="32"/>
        </w:rPr>
        <w:t>亩，</w:t>
      </w:r>
      <w:r>
        <w:rPr>
          <w:rFonts w:ascii="仿宋_GB2312" w:eastAsia="仿宋_GB2312" w:hAnsi="仿宋_GB2312" w:cs="仿宋_GB2312" w:hint="eastAsia"/>
          <w:bCs/>
          <w:sz w:val="32"/>
          <w:szCs w:val="32"/>
        </w:rPr>
        <w:t>统筹利用县域基础设施资源，依托客货运场站、邮政快递、社会快递分拣中心，打造集仓储运功能于一体的县级寄递公共配送中心。按照“应驻尽驻”的原则，引进邮政快递以及其它社会快递品牌企业至少4家入驻，同时加快推进邮政公司三级共配项目建设，</w:t>
      </w:r>
      <w:r>
        <w:rPr>
          <w:rFonts w:ascii="仿宋_GB2312" w:eastAsia="仿宋_GB2312" w:hAnsi="仿宋_GB2312" w:cs="仿宋_GB2312" w:hint="eastAsia"/>
          <w:sz w:val="32"/>
          <w:szCs w:val="32"/>
        </w:rPr>
        <w:t>支持电商园区和快递产业园区协同建设，</w:t>
      </w:r>
      <w:r>
        <w:rPr>
          <w:rFonts w:ascii="仿宋_GB2312" w:eastAsia="仿宋_GB2312" w:hAnsi="仿宋_GB2312" w:cs="仿宋_GB2312" w:hint="eastAsia"/>
          <w:bCs/>
          <w:sz w:val="32"/>
          <w:szCs w:val="32"/>
        </w:rPr>
        <w:t>开展县－乡（镇）、县－村（社区）</w:t>
      </w:r>
      <w:r>
        <w:rPr>
          <w:rFonts w:ascii="仿宋_GB2312" w:eastAsia="仿宋_GB2312" w:hAnsi="仿宋_GB2312" w:cs="仿宋_GB2312" w:hint="eastAsia"/>
          <w:bCs/>
          <w:spacing w:val="6"/>
          <w:sz w:val="32"/>
          <w:szCs w:val="32"/>
        </w:rPr>
        <w:t>共同配送。</w:t>
      </w:r>
      <w:r>
        <w:rPr>
          <w:rFonts w:ascii="仿宋_GB2312" w:eastAsia="仿宋_GB2312" w:hAnsi="仿宋_GB2312" w:cs="仿宋_GB2312" w:hint="eastAsia"/>
          <w:spacing w:val="6"/>
          <w:sz w:val="32"/>
          <w:szCs w:val="32"/>
        </w:rPr>
        <w:t>（责任单位：县商务局、县交通运输局</w:t>
      </w:r>
      <w:r>
        <w:rPr>
          <w:rFonts w:ascii="仿宋_GB2312" w:eastAsia="仿宋_GB2312" w:hAnsi="仿宋_GB2312" w:cs="仿宋_GB2312" w:hint="eastAsia"/>
          <w:bCs/>
          <w:spacing w:val="6"/>
          <w:sz w:val="32"/>
          <w:szCs w:val="32"/>
        </w:rPr>
        <w:t>、</w:t>
      </w:r>
      <w:r>
        <w:rPr>
          <w:rFonts w:ascii="仿宋_GB2312" w:eastAsia="仿宋_GB2312" w:hAnsi="仿宋_GB2312" w:cs="仿宋_GB2312" w:hint="eastAsia"/>
          <w:spacing w:val="6"/>
          <w:sz w:val="32"/>
          <w:szCs w:val="32"/>
        </w:rPr>
        <w:t>县邮政公</w:t>
      </w:r>
      <w:r>
        <w:rPr>
          <w:rFonts w:ascii="仿宋_GB2312" w:eastAsia="仿宋_GB2312" w:hAnsi="仿宋_GB2312" w:cs="仿宋_GB2312" w:hint="eastAsia"/>
          <w:sz w:val="32"/>
          <w:szCs w:val="32"/>
        </w:rPr>
        <w:t>司）</w:t>
      </w:r>
    </w:p>
    <w:p w:rsidR="00806220" w:rsidRDefault="00E94F49" w:rsidP="00AE719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3.打造乡镇公共配送综合服务站。</w:t>
      </w:r>
      <w:r>
        <w:rPr>
          <w:rFonts w:ascii="仿宋_GB2312" w:eastAsia="仿宋_GB2312" w:hAnsi="仿宋_GB2312" w:cs="仿宋_GB2312" w:hint="eastAsia"/>
          <w:sz w:val="32"/>
          <w:szCs w:val="32"/>
        </w:rPr>
        <w:t>以乡镇邮政支局和乡镇交通综合服务平台为载体，</w:t>
      </w:r>
      <w:r>
        <w:rPr>
          <w:rFonts w:ascii="仿宋_GB2312" w:eastAsia="仿宋_GB2312" w:hAnsi="仿宋_GB2312" w:cs="仿宋_GB2312" w:hint="eastAsia"/>
          <w:bCs/>
          <w:sz w:val="32"/>
          <w:szCs w:val="32"/>
        </w:rPr>
        <w:t>在保留原有功能的基础上，拓展邮件快件收、储、分、送功能，改造成为满足客货邮融合发展需求的乡镇公共配送综合服务站，</w:t>
      </w:r>
      <w:r>
        <w:rPr>
          <w:rFonts w:ascii="仿宋_GB2312" w:eastAsia="仿宋_GB2312" w:hAnsi="仿宋_GB2312" w:cs="仿宋_GB2312" w:hint="eastAsia"/>
          <w:sz w:val="32"/>
          <w:szCs w:val="32"/>
        </w:rPr>
        <w:t>鼓励引导当地其它社会快递企业抱团入驻。除城区外，需建设乡镇寄递物流共配中心13个，</w:t>
      </w:r>
      <w:r>
        <w:rPr>
          <w:rFonts w:ascii="仿宋_GB2312" w:eastAsia="仿宋_GB2312" w:hAnsi="仿宋_GB2312" w:cs="仿宋_GB2312" w:hint="eastAsia"/>
          <w:bCs/>
          <w:sz w:val="32"/>
          <w:szCs w:val="32"/>
        </w:rPr>
        <w:t>其中白土岗镇、乔端镇、太山庙乡、皇后乡、五朵镇5个乡镇以乡镇交通综合服务平台为基础打造</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其它8个乡镇以</w:t>
      </w:r>
      <w:r>
        <w:rPr>
          <w:rFonts w:ascii="仿宋_GB2312" w:eastAsia="仿宋_GB2312" w:hAnsi="仿宋_GB2312" w:cs="仿宋_GB2312" w:hint="eastAsia"/>
          <w:bCs/>
          <w:kern w:val="0"/>
          <w:sz w:val="32"/>
          <w:szCs w:val="32"/>
        </w:rPr>
        <w:t>邮政支局为基础打造</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吸纳社会快递企业入驻,达到规范化标准。目前</w:t>
      </w:r>
      <w:r>
        <w:rPr>
          <w:rFonts w:ascii="仿宋_GB2312" w:eastAsia="仿宋_GB2312" w:hAnsi="仿宋_GB2312" w:cs="仿宋_GB2312" w:hint="eastAsia"/>
          <w:sz w:val="32"/>
          <w:szCs w:val="32"/>
        </w:rPr>
        <w:lastRenderedPageBreak/>
        <w:t>已建设完成的云阳镇、南河店镇邮政寄递共配中心和太山庙交通</w:t>
      </w:r>
      <w:r>
        <w:rPr>
          <w:rFonts w:ascii="仿宋_GB2312" w:eastAsia="仿宋_GB2312" w:hAnsi="仿宋_GB2312" w:cs="仿宋_GB2312" w:hint="eastAsia"/>
          <w:bCs/>
          <w:sz w:val="32"/>
          <w:szCs w:val="32"/>
        </w:rPr>
        <w:t>综合服务平台要提档升级，提高服务水平。</w:t>
      </w:r>
      <w:r>
        <w:rPr>
          <w:rFonts w:ascii="仿宋_GB2312" w:eastAsia="仿宋_GB2312" w:hAnsi="仿宋_GB2312" w:cs="仿宋_GB2312" w:hint="eastAsia"/>
          <w:sz w:val="32"/>
          <w:szCs w:val="32"/>
        </w:rPr>
        <w:t>（责任单位：县交通运输局、县商务局</w:t>
      </w:r>
      <w:bookmarkStart w:id="2" w:name="OLE_LINK1"/>
      <w:bookmarkStart w:id="3" w:name="OLE_LINK2"/>
      <w:r>
        <w:rPr>
          <w:rFonts w:ascii="仿宋_GB2312" w:eastAsia="仿宋_GB2312" w:hAnsi="仿宋_GB2312" w:cs="仿宋_GB2312" w:hint="eastAsia"/>
          <w:sz w:val="32"/>
          <w:szCs w:val="32"/>
        </w:rPr>
        <w:t>、县邮政公司、</w:t>
      </w:r>
      <w:bookmarkEnd w:id="2"/>
      <w:bookmarkEnd w:id="3"/>
      <w:r>
        <w:rPr>
          <w:rFonts w:ascii="仿宋_GB2312" w:eastAsia="仿宋_GB2312" w:hAnsi="仿宋_GB2312" w:cs="仿宋_GB2312" w:hint="eastAsia"/>
          <w:sz w:val="32"/>
          <w:szCs w:val="32"/>
        </w:rPr>
        <w:t>各乡镇人民政府）</w:t>
      </w:r>
    </w:p>
    <w:p w:rsidR="00806220" w:rsidRDefault="00E94F49" w:rsidP="00AE719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4.打造“一站式”村级寄递物流综合服务点。</w:t>
      </w:r>
      <w:r>
        <w:rPr>
          <w:rFonts w:ascii="仿宋_GB2312" w:eastAsia="仿宋_GB2312" w:hAnsi="仿宋_GB2312" w:cs="仿宋_GB2312" w:hint="eastAsia"/>
          <w:bCs/>
          <w:sz w:val="32"/>
          <w:szCs w:val="32"/>
        </w:rPr>
        <w:t>优先选择农村客运站点、农村商超和邮政综合服务站等场所，打造“一站式”村级寄递物流综合服务点。</w:t>
      </w:r>
      <w:r>
        <w:rPr>
          <w:rFonts w:ascii="仿宋_GB2312" w:eastAsia="仿宋_GB2312" w:hAnsi="仿宋_GB2312" w:cs="仿宋_GB2312" w:hint="eastAsia"/>
          <w:sz w:val="32"/>
          <w:szCs w:val="32"/>
        </w:rPr>
        <w:t>各乡镇按照地域与行政村分布设多个中心村站点，做到“一点多覆盖”。以各乡镇政府为主导，交通、商务、邮政等相关部门配合完成。服务点要达到“四固定”（固定的场所、人员、时间、投递频次），“三有”（有快递标识、信息系统、货架），“三不”（快件不着地、不抛件、不摆地摊）标准，</w:t>
      </w:r>
      <w:r>
        <w:rPr>
          <w:rFonts w:ascii="仿宋_GB2312" w:eastAsia="仿宋_GB2312" w:hAnsi="仿宋_GB2312" w:cs="仿宋_GB2312" w:hint="eastAsia"/>
          <w:bCs/>
          <w:sz w:val="32"/>
          <w:szCs w:val="32"/>
        </w:rPr>
        <w:t>鼓励按需分类打造旗舰店、形象店和基础店。对偏远山区，要加强邮快合作，补齐村级服务点短板。</w:t>
      </w:r>
      <w:r>
        <w:rPr>
          <w:rFonts w:ascii="仿宋_GB2312" w:eastAsia="仿宋_GB2312" w:hAnsi="仿宋_GB2312" w:cs="仿宋_GB2312" w:hint="eastAsia"/>
          <w:sz w:val="32"/>
          <w:szCs w:val="32"/>
        </w:rPr>
        <w:t>（责任单位：县商务局、县交通运输局、县邮政公司、各乡镇人民政府）</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（二）立足实际，因地制宜确定融合发展模式</w:t>
      </w:r>
    </w:p>
    <w:p w:rsidR="00806220" w:rsidRDefault="00E94F49" w:rsidP="00AE7191">
      <w:pPr>
        <w:overflowPunct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5.运营主体和融合方式。</w:t>
      </w:r>
      <w:r>
        <w:rPr>
          <w:rFonts w:ascii="仿宋_GB2312" w:eastAsia="仿宋_GB2312" w:hAnsi="仿宋_GB2312" w:cs="仿宋_GB2312" w:hint="eastAsia"/>
          <w:bCs/>
          <w:sz w:val="32"/>
          <w:szCs w:val="32"/>
        </w:rPr>
        <w:t>结合我县实际情况，由具备资源整合能力和多方协调能力的企业作为农村客货邮融合运营牵头单位。积极协调邮政、快递等企业经营者，整合基础设施、运力设备和信息资源等优势，合理设置利益分配机制，签订合作协议，明确各方权责和义务，统筹推进农村客货邮融合工作。县级</w:t>
      </w:r>
      <w:r>
        <w:rPr>
          <w:rFonts w:ascii="仿宋_GB2312" w:eastAsia="仿宋_GB2312" w:hAnsi="仿宋_GB2312" w:cs="仿宋_GB2312" w:hint="eastAsia"/>
          <w:kern w:val="0"/>
          <w:sz w:val="32"/>
          <w:szCs w:val="32"/>
        </w:rPr>
        <w:t>共配中心日常运营由</w:t>
      </w:r>
      <w:r>
        <w:rPr>
          <w:rFonts w:ascii="仿宋_GB2312" w:eastAsia="仿宋_GB2312" w:hAnsi="仿宋_GB2312" w:cs="仿宋_GB2312" w:hint="eastAsia"/>
          <w:bCs/>
          <w:kern w:val="0"/>
          <w:sz w:val="32"/>
          <w:szCs w:val="32"/>
        </w:rPr>
        <w:t>县邮政公司</w:t>
      </w:r>
      <w:r>
        <w:rPr>
          <w:rFonts w:ascii="仿宋_GB2312" w:eastAsia="仿宋_GB2312" w:hAnsi="仿宋_GB2312" w:cs="仿宋_GB2312" w:hint="eastAsia"/>
          <w:kern w:val="0"/>
          <w:sz w:val="32"/>
          <w:szCs w:val="32"/>
        </w:rPr>
        <w:t>牵头，在县级共配中心统</w:t>
      </w:r>
      <w:r>
        <w:rPr>
          <w:rFonts w:ascii="仿宋_GB2312" w:eastAsia="仿宋_GB2312" w:hAnsi="仿宋_GB2312" w:cs="仿宋_GB2312" w:hint="eastAsia"/>
          <w:kern w:val="0"/>
          <w:sz w:val="32"/>
          <w:szCs w:val="32"/>
        </w:rPr>
        <w:lastRenderedPageBreak/>
        <w:t>一分拣下，通过邮快、交邮、交快和快快等方式实现合作共赢。通过整合运输资源，利用邮政运输车辆、交通客运班车代运和委托第三方运输公司等多种方式实现县级邮件快件集中运输至乡镇，再通过客运邮政等现有体系运输至各村，</w:t>
      </w:r>
      <w:r>
        <w:rPr>
          <w:rFonts w:ascii="仿宋_GB2312" w:eastAsia="仿宋_GB2312" w:hAnsi="仿宋_GB2312" w:cs="仿宋_GB2312" w:hint="eastAsia"/>
          <w:bCs/>
          <w:sz w:val="32"/>
          <w:szCs w:val="32"/>
        </w:rPr>
        <w:t>通过灵活选择“交邮快商”合作，促进客货邮市场有效融合。</w:t>
      </w:r>
      <w:r>
        <w:rPr>
          <w:rFonts w:ascii="仿宋_GB2312" w:eastAsia="仿宋_GB2312" w:hAnsi="仿宋_GB2312" w:cs="仿宋_GB2312" w:hint="eastAsia"/>
          <w:sz w:val="32"/>
          <w:szCs w:val="32"/>
        </w:rPr>
        <w:t>（责任单位：县交通运输局、县商务局、</w:t>
      </w:r>
      <w:bookmarkStart w:id="4" w:name="OLE_LINK21"/>
      <w:bookmarkStart w:id="5" w:name="OLE_LINK22"/>
      <w:r>
        <w:rPr>
          <w:rFonts w:ascii="仿宋_GB2312" w:eastAsia="仿宋_GB2312" w:hAnsi="仿宋_GB2312" w:cs="仿宋_GB2312" w:hint="eastAsia"/>
          <w:sz w:val="32"/>
          <w:szCs w:val="32"/>
        </w:rPr>
        <w:t>县邮政公司</w:t>
      </w:r>
      <w:bookmarkEnd w:id="4"/>
      <w:bookmarkEnd w:id="5"/>
      <w:r>
        <w:rPr>
          <w:rFonts w:ascii="仿宋_GB2312" w:eastAsia="仿宋_GB2312" w:hAnsi="仿宋_GB2312" w:cs="仿宋_GB2312" w:hint="eastAsia"/>
          <w:sz w:val="32"/>
          <w:szCs w:val="32"/>
        </w:rPr>
        <w:t>）</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（三）升级运力，加快推动运输服务质效提升</w:t>
      </w:r>
    </w:p>
    <w:p w:rsidR="00806220" w:rsidRDefault="00E94F49" w:rsidP="00AE7191">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6.整合运力资源。</w:t>
      </w:r>
      <w:r>
        <w:rPr>
          <w:rFonts w:ascii="仿宋_GB2312" w:eastAsia="仿宋_GB2312" w:hAnsi="仿宋_GB2312" w:cs="仿宋_GB2312" w:hint="eastAsia"/>
          <w:bCs/>
          <w:color w:val="000000"/>
          <w:sz w:val="32"/>
          <w:szCs w:val="32"/>
        </w:rPr>
        <w:t>县交通运输局</w:t>
      </w:r>
      <w:r>
        <w:rPr>
          <w:rFonts w:ascii="仿宋_GB2312" w:eastAsia="仿宋_GB2312" w:hAnsi="仿宋_GB2312" w:cs="仿宋_GB2312" w:hint="eastAsia"/>
          <w:bCs/>
          <w:sz w:val="32"/>
          <w:szCs w:val="32"/>
        </w:rPr>
        <w:t>按照“运力共享、集约高效、统一调度”的原则，整合客运、公交、邮政和货运等运力资源，调配快件运输需求匹配的客运车辆，</w:t>
      </w:r>
      <w:r>
        <w:rPr>
          <w:rFonts w:ascii="仿宋_GB2312" w:eastAsia="仿宋_GB2312" w:hAnsi="仿宋_GB2312" w:cs="仿宋_GB2312" w:hint="eastAsia"/>
          <w:bCs/>
          <w:kern w:val="0"/>
          <w:sz w:val="32"/>
          <w:szCs w:val="32"/>
        </w:rPr>
        <w:t>发展定制货运班线，</w:t>
      </w:r>
      <w:r>
        <w:rPr>
          <w:rFonts w:ascii="仿宋_GB2312" w:eastAsia="仿宋_GB2312" w:hAnsi="仿宋_GB2312" w:cs="仿宋_GB2312" w:hint="eastAsia"/>
          <w:bCs/>
          <w:sz w:val="32"/>
          <w:szCs w:val="32"/>
        </w:rPr>
        <w:t>开通农村客运代运邮件快件线路。指导农村客运经营企业规范选用农村客运车辆，支持运营企业选购符合《农村客货邮融合发展适配车辆选型技术要求（试行）》条件的车型。</w:t>
      </w:r>
      <w:r>
        <w:rPr>
          <w:rFonts w:ascii="仿宋_GB2312" w:eastAsia="仿宋_GB2312" w:hAnsi="仿宋_GB2312" w:cs="仿宋_GB2312" w:hint="eastAsia"/>
          <w:sz w:val="32"/>
          <w:szCs w:val="32"/>
        </w:rPr>
        <w:t>（责任单位：县交通运输局、县商务局、县邮政公司）</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（四）规范管理，有效提升融合发展水平</w:t>
      </w:r>
    </w:p>
    <w:p w:rsidR="00806220" w:rsidRDefault="00E94F49" w:rsidP="00AE719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7.加快信息数据融合。</w:t>
      </w:r>
      <w:r>
        <w:rPr>
          <w:rFonts w:ascii="仿宋_GB2312" w:eastAsia="仿宋_GB2312" w:hAnsi="仿宋_GB2312" w:cs="仿宋_GB2312" w:hint="eastAsia"/>
          <w:sz w:val="32"/>
          <w:szCs w:val="32"/>
        </w:rPr>
        <w:t>推动客运、货运、邮政等数据互联，优化运营平台。按照《农村客货邮融合企业运营平台技术要求》，积极搭建运营平台，开发节点管理、运营调度、统计查询、流程追溯、费用结算和安全管理等功能，接入省、市综合交通运输管理服务平台，满足各方运营监测要求。（责任单位：县交通运输局、县商务局、</w:t>
      </w:r>
      <w:r>
        <w:rPr>
          <w:rFonts w:ascii="仿宋_GB2312" w:eastAsia="仿宋_GB2312" w:hAnsi="仿宋_GB2312" w:cs="仿宋_GB2312" w:hint="eastAsia"/>
          <w:color w:val="000000"/>
          <w:sz w:val="32"/>
          <w:szCs w:val="32"/>
        </w:rPr>
        <w:t>县市场监管局</w:t>
      </w:r>
      <w:r>
        <w:rPr>
          <w:rFonts w:ascii="仿宋_GB2312" w:eastAsia="仿宋_GB2312" w:hAnsi="仿宋_GB2312" w:cs="仿宋_GB2312" w:hint="eastAsia"/>
          <w:sz w:val="32"/>
          <w:szCs w:val="32"/>
        </w:rPr>
        <w:t>、县邮政公司）</w:t>
      </w:r>
    </w:p>
    <w:p w:rsidR="00806220" w:rsidRDefault="00E94F49" w:rsidP="00AE7191">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8.加强服务管理。</w:t>
      </w:r>
      <w:r>
        <w:rPr>
          <w:rFonts w:ascii="仿宋_GB2312" w:eastAsia="仿宋_GB2312" w:hAnsi="仿宋_GB2312" w:cs="仿宋_GB2312" w:hint="eastAsia"/>
          <w:sz w:val="32"/>
          <w:szCs w:val="32"/>
        </w:rPr>
        <w:t>深入贯彻《中华人民共和国邮政法》、《快递暂行条例》，认真落实市场准入、公平竞争等管理要求，保持末端网点经营和从业人员队伍总体稳定，不断提高服务和监督管理水平。</w:t>
      </w:r>
      <w:r>
        <w:rPr>
          <w:rFonts w:ascii="仿宋_GB2312" w:eastAsia="仿宋_GB2312" w:hAnsi="仿宋_GB2312" w:cs="仿宋_GB2312" w:hint="eastAsia"/>
          <w:bCs/>
          <w:sz w:val="32"/>
          <w:szCs w:val="32"/>
        </w:rPr>
        <w:t>客货邮经营者应当按照约定，按址投递邮件快件。村级综合服务点寄件收费项目应按规定明码标价、上墙公示。严格执行实名收寄、过机安检等制度，坚决查处快递末端违规“二次收费”等问题。</w:t>
      </w:r>
      <w:r>
        <w:rPr>
          <w:rFonts w:ascii="仿宋_GB2312" w:eastAsia="仿宋_GB2312" w:hAnsi="仿宋_GB2312" w:cs="仿宋_GB2312" w:hint="eastAsia"/>
          <w:sz w:val="32"/>
          <w:szCs w:val="32"/>
        </w:rPr>
        <w:t>（责任单位：</w:t>
      </w:r>
      <w:r>
        <w:rPr>
          <w:rFonts w:ascii="仿宋_GB2312" w:eastAsia="仿宋_GB2312" w:hAnsi="仿宋_GB2312" w:cs="仿宋_GB2312" w:hint="eastAsia"/>
          <w:spacing w:val="11"/>
          <w:sz w:val="32"/>
          <w:szCs w:val="32"/>
        </w:rPr>
        <w:t>县商务局、县公安局、县交通运输局、县</w:t>
      </w:r>
      <w:r>
        <w:rPr>
          <w:rFonts w:ascii="仿宋_GB2312" w:eastAsia="仿宋_GB2312" w:hAnsi="仿宋_GB2312" w:cs="仿宋_GB2312" w:hint="eastAsia"/>
          <w:sz w:val="32"/>
          <w:szCs w:val="32"/>
        </w:rPr>
        <w:t>邮政公司、</w:t>
      </w:r>
      <w:r>
        <w:rPr>
          <w:rFonts w:ascii="仿宋_GB2312" w:eastAsia="仿宋_GB2312" w:hAnsi="仿宋_GB2312" w:cs="仿宋_GB2312" w:hint="eastAsia"/>
          <w:spacing w:val="11"/>
          <w:sz w:val="32"/>
          <w:szCs w:val="32"/>
        </w:rPr>
        <w:t>各乡镇人民政府）</w:t>
      </w:r>
    </w:p>
    <w:p w:rsidR="00806220" w:rsidRDefault="00E94F49" w:rsidP="00AE7191">
      <w:pPr>
        <w:overflowPunct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9.规范使用标识。</w:t>
      </w:r>
      <w:r>
        <w:rPr>
          <w:rFonts w:ascii="仿宋_GB2312" w:eastAsia="仿宋_GB2312" w:hAnsi="仿宋_GB2312" w:cs="仿宋_GB2312" w:hint="eastAsia"/>
          <w:bCs/>
          <w:sz w:val="32"/>
          <w:szCs w:val="32"/>
        </w:rPr>
        <w:t>按照《关于统一规范使用河南省客货邮服务标识的通知》要求，在节点设施、运输车辆等需要使用的场景中统一制作使用“河南客货邮”标识，增强辨识度。</w:t>
      </w:r>
      <w:r>
        <w:rPr>
          <w:rFonts w:ascii="仿宋_GB2312" w:eastAsia="仿宋_GB2312" w:hAnsi="仿宋_GB2312" w:cs="仿宋_GB2312" w:hint="eastAsia"/>
          <w:sz w:val="32"/>
          <w:szCs w:val="32"/>
        </w:rPr>
        <w:t>（责任单位：县交通运输局、县商务局、县邮政公司、各乡镇人民政府）</w:t>
      </w:r>
    </w:p>
    <w:p w:rsidR="00806220" w:rsidRDefault="00E94F49" w:rsidP="00AE7191">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10.鼓励使用智能化标准化装备。</w:t>
      </w:r>
      <w:r>
        <w:rPr>
          <w:rFonts w:ascii="仿宋_GB2312" w:eastAsia="仿宋_GB2312" w:hAnsi="仿宋_GB2312" w:cs="仿宋_GB2312" w:hint="eastAsia"/>
          <w:bCs/>
          <w:sz w:val="32"/>
          <w:szCs w:val="32"/>
        </w:rPr>
        <w:t>支持县级寄递公共配送中心和大业务量乡镇服务站配置自动化分拣设备，提高分拣效率。支持乡镇服务站配备智能设备，提高周转效率。支持村服务点配备规范设备，提高服务效率。鼓励企业按需配备标准化的物流装备，提高邮件快件上下行运输效率。</w:t>
      </w:r>
      <w:r>
        <w:rPr>
          <w:rFonts w:ascii="仿宋_GB2312" w:eastAsia="仿宋_GB2312" w:hAnsi="仿宋_GB2312" w:cs="仿宋_GB2312" w:hint="eastAsia"/>
          <w:sz w:val="32"/>
          <w:szCs w:val="32"/>
        </w:rPr>
        <w:t>（责任单位：县商务局、县交通运输局、县邮政公司、各乡镇人民政府）</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（五）服务产业，全面助力乡村振兴赋能增效</w:t>
      </w:r>
    </w:p>
    <w:p w:rsidR="00806220" w:rsidRDefault="00E94F49" w:rsidP="00AE7191">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11.推动“客货邮+电商”发展。</w:t>
      </w:r>
      <w:r>
        <w:rPr>
          <w:rFonts w:ascii="仿宋_GB2312" w:eastAsia="仿宋_GB2312" w:hAnsi="仿宋_GB2312" w:cs="仿宋_GB2312" w:hint="eastAsia"/>
          <w:bCs/>
          <w:sz w:val="32"/>
          <w:szCs w:val="32"/>
        </w:rPr>
        <w:t>结合农产品出村进城工</w:t>
      </w:r>
      <w:r>
        <w:rPr>
          <w:rFonts w:ascii="仿宋_GB2312" w:eastAsia="仿宋_GB2312" w:hAnsi="仿宋_GB2312" w:cs="仿宋_GB2312" w:hint="eastAsia"/>
          <w:bCs/>
          <w:sz w:val="32"/>
          <w:szCs w:val="32"/>
        </w:rPr>
        <w:lastRenderedPageBreak/>
        <w:t>程，引导“客货邮+电商”协同发展，鼓励各乡镇拓展农产品上行渠道，拓宽农产品销售渠道。</w:t>
      </w:r>
      <w:r>
        <w:rPr>
          <w:rFonts w:ascii="仿宋_GB2312" w:eastAsia="仿宋_GB2312" w:hAnsi="仿宋_GB2312" w:cs="仿宋_GB2312" w:hint="eastAsia"/>
          <w:sz w:val="32"/>
          <w:szCs w:val="32"/>
        </w:rPr>
        <w:t>（责任单位：县商务局、县交通运输局、县农业农村局、各乡镇人民政府）</w:t>
      </w:r>
    </w:p>
    <w:p w:rsidR="00806220" w:rsidRDefault="00E94F49" w:rsidP="00AE7191">
      <w:pPr>
        <w:overflowPunct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12.推进“客货邮+农业”发展。</w:t>
      </w:r>
      <w:r>
        <w:rPr>
          <w:rFonts w:ascii="仿宋_GB2312" w:eastAsia="仿宋_GB2312" w:hAnsi="仿宋_GB2312" w:cs="仿宋_GB2312" w:hint="eastAsia"/>
          <w:bCs/>
          <w:sz w:val="32"/>
          <w:szCs w:val="32"/>
        </w:rPr>
        <w:t>鼓励与各乡镇农业经营主体合作，为各乡镇特色农业提供专业化、便捷化寄递服务，畅通农产品产供销渠道，助力农民增收致富。</w:t>
      </w:r>
      <w:r>
        <w:rPr>
          <w:rFonts w:ascii="仿宋_GB2312" w:eastAsia="仿宋_GB2312" w:hAnsi="仿宋_GB2312" w:cs="仿宋_GB2312" w:hint="eastAsia"/>
          <w:sz w:val="32"/>
          <w:szCs w:val="32"/>
        </w:rPr>
        <w:t>（责任单位：县交通运输局、县农业农村局、县商务局、各乡镇人民政府）</w:t>
      </w:r>
    </w:p>
    <w:p w:rsidR="00806220" w:rsidRDefault="00E94F49">
      <w:pPr>
        <w:overflowPunct w:val="0"/>
        <w:spacing w:line="6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三、实施步骤</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（一）动员部署</w:t>
      </w:r>
    </w:p>
    <w:p w:rsidR="00806220" w:rsidRDefault="00E94F49">
      <w:pPr>
        <w:overflowPunct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1月10前，召开全县动员部署会，解读政策、部署任务。</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（二）报送计划</w:t>
      </w:r>
    </w:p>
    <w:p w:rsidR="00806220" w:rsidRDefault="00E94F49">
      <w:pPr>
        <w:overflowPunct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按照《关于加快全省农村客货邮融合发展扩面提质的通知》要求，制定工作计划，于2026年1月18日前提交市交通运输局，市交通运输局联合相关部门完成初审后，提请省交通运输厅审核。</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（三）分类实施</w:t>
      </w:r>
    </w:p>
    <w:p w:rsidR="00806220" w:rsidRDefault="00E94F49">
      <w:pPr>
        <w:overflowPunct w:val="0"/>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按照“因地制宜、分类实施”的原则抓好客货邮融合发展任务落实。对原有的正在运营的乡镇村点要加强跟进指导，提升运营效率；对有基础条件但未运营的</w:t>
      </w:r>
      <w:bookmarkStart w:id="6" w:name="OLE_LINK6"/>
      <w:bookmarkStart w:id="7" w:name="OLE_LINK5"/>
      <w:r>
        <w:rPr>
          <w:rFonts w:ascii="仿宋_GB2312" w:eastAsia="仿宋_GB2312" w:hAnsi="仿宋_GB2312" w:cs="仿宋_GB2312" w:hint="eastAsia"/>
          <w:bCs/>
          <w:sz w:val="32"/>
          <w:szCs w:val="32"/>
        </w:rPr>
        <w:t>乡镇村</w:t>
      </w:r>
      <w:bookmarkEnd w:id="6"/>
      <w:bookmarkEnd w:id="7"/>
      <w:r>
        <w:rPr>
          <w:rFonts w:ascii="仿宋_GB2312" w:eastAsia="仿宋_GB2312" w:hAnsi="仿宋_GB2312" w:cs="仿宋_GB2312" w:hint="eastAsia"/>
          <w:bCs/>
          <w:sz w:val="32"/>
          <w:szCs w:val="32"/>
        </w:rPr>
        <w:t>点要科学规划，积极推进，率先完成。力争2026年6月底前完成基础设施融合建设项目，7月底前完成设施设备调试：8月底前完成邮政，</w:t>
      </w:r>
      <w:r>
        <w:rPr>
          <w:rFonts w:ascii="仿宋_GB2312" w:eastAsia="仿宋_GB2312" w:hAnsi="仿宋_GB2312" w:cs="仿宋_GB2312" w:hint="eastAsia"/>
          <w:bCs/>
          <w:sz w:val="32"/>
          <w:szCs w:val="32"/>
        </w:rPr>
        <w:lastRenderedPageBreak/>
        <w:t>快递品牌入驻并实现实质运营，9月底前将运营数据接入省综合交通运输管理服务平台。</w:t>
      </w:r>
    </w:p>
    <w:p w:rsidR="00806220" w:rsidRDefault="00E94F49" w:rsidP="00AE7191">
      <w:pPr>
        <w:overflowPunct w:val="0"/>
        <w:spacing w:line="62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（四）验收评估</w:t>
      </w:r>
    </w:p>
    <w:p w:rsidR="00806220" w:rsidRDefault="00E94F49">
      <w:pPr>
        <w:overflowPunct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支持、引导、鼓励性项目，按照成熟一个、申请一个、验收一个的思路，2026年7月底前，要对照验收标准对辖区内节点建设项目进行自评，自评通过后编制资金申请报告报所在市级交通运输主管部门，8月底前，市级交通运输主管部门组织初步验收后向省交通运输厅书面提出验收申请。9月底前，省交通运输厅对资金申请报告进行形式审查，依托省综合交通运输管理服务平台验收合格后，给予建设补助资金支持。验收不通过的，给予3个月整改期，超期未完成整改或再次验收不通过的，不再安排建设补助资金。省级补助资金重点支持县乡村三级节点基础设施建设，装备设备配置，信息化建设及邮政，快递企业融合等，省财政厅审核并下达资金。</w:t>
      </w:r>
    </w:p>
    <w:p w:rsidR="00806220" w:rsidRDefault="00E94F49">
      <w:pPr>
        <w:overflowPunct w:val="0"/>
        <w:spacing w:line="6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四、保障措施</w:t>
      </w:r>
    </w:p>
    <w:p w:rsidR="00806220" w:rsidRDefault="00E94F49" w:rsidP="00AE7191">
      <w:pPr>
        <w:overflowPunct w:val="0"/>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
          <w:bCs/>
          <w:sz w:val="32"/>
          <w:szCs w:val="32"/>
        </w:rPr>
        <w:t>（一）加强组织领导。</w:t>
      </w:r>
      <w:r>
        <w:rPr>
          <w:rFonts w:ascii="仿宋_GB2312" w:eastAsia="仿宋_GB2312" w:hAnsi="仿宋_GB2312" w:cs="仿宋_GB2312" w:hint="eastAsia"/>
          <w:bCs/>
          <w:sz w:val="32"/>
          <w:szCs w:val="32"/>
        </w:rPr>
        <w:t>建立健全交通运输、财政、商务、农业农村、邮政等多部门协同推进机制，各乡镇也应建立相应机制，充分衔接政府民生实事、乡村振兴等重点工作，协商解决有关问题事项，推动农村客货邮融合发展工作落实落细。</w:t>
      </w:r>
      <w:r>
        <w:rPr>
          <w:rFonts w:ascii="仿宋_GB2312" w:eastAsia="仿宋_GB2312" w:hAnsi="仿宋_GB2312" w:cs="仿宋_GB2312" w:hint="eastAsia"/>
          <w:sz w:val="32"/>
          <w:szCs w:val="32"/>
        </w:rPr>
        <w:t>为切实推进全县客货邮体系建设工作项目建设，成立南召县推动农村客货邮融合发展扩面提质工作专班，由分管交通工作的副</w:t>
      </w:r>
      <w:r>
        <w:rPr>
          <w:rFonts w:ascii="仿宋_GB2312" w:eastAsia="仿宋_GB2312" w:hAnsi="仿宋_GB2312" w:cs="仿宋_GB2312" w:hint="eastAsia"/>
          <w:sz w:val="32"/>
          <w:szCs w:val="32"/>
        </w:rPr>
        <w:lastRenderedPageBreak/>
        <w:t>县长任组长，工作专班下设办公室，办公室设在县交通运输局，由县交通运输局、县商务局、县邮政公司各</w:t>
      </w:r>
      <w:bookmarkStart w:id="8" w:name="_GoBack"/>
      <w:bookmarkEnd w:id="8"/>
      <w:r>
        <w:rPr>
          <w:rFonts w:ascii="仿宋_GB2312" w:eastAsia="仿宋_GB2312" w:hAnsi="仿宋_GB2312" w:cs="仿宋_GB2312" w:hint="eastAsia"/>
          <w:sz w:val="32"/>
          <w:szCs w:val="32"/>
        </w:rPr>
        <w:t>抽调1-2名专职人员为办公室成员，办公地点在县商务局（行政中</w:t>
      </w:r>
      <w:r>
        <w:rPr>
          <w:rFonts w:ascii="仿宋_GB2312" w:eastAsia="仿宋_GB2312" w:hAnsi="仿宋_GB2312" w:cs="仿宋_GB2312" w:hint="eastAsia"/>
          <w:spacing w:val="-6"/>
          <w:sz w:val="32"/>
          <w:szCs w:val="32"/>
        </w:rPr>
        <w:t>心东12楼）开展日常工作，各乡镇也要明确一名副职分管推</w:t>
      </w:r>
      <w:r>
        <w:rPr>
          <w:rFonts w:ascii="仿宋_GB2312" w:eastAsia="仿宋_GB2312" w:hAnsi="仿宋_GB2312" w:cs="仿宋_GB2312" w:hint="eastAsia"/>
          <w:sz w:val="32"/>
          <w:szCs w:val="32"/>
        </w:rPr>
        <w:t>进该项工作，联系方式于1月10日前报邮箱nzkhyrhb@163.com。</w:t>
      </w:r>
    </w:p>
    <w:p w:rsidR="00806220" w:rsidRDefault="00E94F49" w:rsidP="00AE7191">
      <w:pPr>
        <w:spacing w:line="6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（二）强化政策支持。</w:t>
      </w:r>
      <w:r>
        <w:rPr>
          <w:rFonts w:ascii="仿宋_GB2312" w:eastAsia="仿宋_GB2312" w:hAnsi="仿宋_GB2312" w:cs="仿宋_GB2312" w:hint="eastAsia"/>
          <w:sz w:val="32"/>
          <w:szCs w:val="32"/>
        </w:rPr>
        <w:t>县直各有关部门要结合本部门实际，落实争取各项政策。县政府将加大对客货邮业务扶持力度，落实配套资金，</w:t>
      </w:r>
      <w:r>
        <w:rPr>
          <w:rFonts w:ascii="仿宋_GB2312" w:eastAsia="仿宋_GB2312" w:hAnsi="仿宋_GB2312" w:cs="仿宋_GB2312" w:hint="eastAsia"/>
          <w:bCs/>
          <w:sz w:val="32"/>
          <w:szCs w:val="32"/>
        </w:rPr>
        <w:t>统筹利用省级客货邮融合发展补助政策，协调利用各方资源，拓展多元化资金筹措渠道，引导社会资本广泛参与客货邮融合建设运营，</w:t>
      </w:r>
      <w:r>
        <w:rPr>
          <w:rFonts w:ascii="仿宋_GB2312" w:eastAsia="仿宋_GB2312" w:hAnsi="仿宋_GB2312" w:cs="仿宋_GB2312" w:hint="eastAsia"/>
          <w:sz w:val="32"/>
          <w:szCs w:val="32"/>
        </w:rPr>
        <w:t>支持邮政快递业做大做强。</w:t>
      </w:r>
    </w:p>
    <w:p w:rsidR="00806220" w:rsidRDefault="00E94F49" w:rsidP="00AE7191">
      <w:pPr>
        <w:overflowPunct w:val="0"/>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
          <w:bCs/>
          <w:sz w:val="32"/>
          <w:szCs w:val="32"/>
        </w:rPr>
        <w:t>（三）注重宣传引导。</w:t>
      </w:r>
      <w:r>
        <w:rPr>
          <w:rFonts w:ascii="仿宋_GB2312" w:eastAsia="仿宋_GB2312" w:hAnsi="仿宋_GB2312" w:cs="仿宋_GB2312" w:hint="eastAsia"/>
          <w:bCs/>
          <w:sz w:val="32"/>
          <w:szCs w:val="32"/>
        </w:rPr>
        <w:t>多渠道、多形式、多层次、全方位开展客货邮相关政策宣传推介，扩大群众对快递进村政策的知晓度，提升群众参与度，积极营造全社会支持农村客货邮融合发展的良好氛围。</w:t>
      </w:r>
    </w:p>
    <w:p w:rsidR="00806220" w:rsidRDefault="00806220">
      <w:pPr>
        <w:overflowPunct w:val="0"/>
        <w:spacing w:line="620" w:lineRule="exact"/>
        <w:ind w:firstLineChars="200" w:firstLine="640"/>
        <w:rPr>
          <w:rFonts w:ascii="仿宋_GB2312" w:eastAsia="仿宋_GB2312" w:hAnsi="仿宋_GB2312" w:cs="仿宋_GB2312"/>
          <w:bCs/>
          <w:sz w:val="32"/>
          <w:szCs w:val="32"/>
        </w:rPr>
      </w:pPr>
    </w:p>
    <w:bookmarkEnd w:id="0"/>
    <w:bookmarkEnd w:id="1"/>
    <w:p w:rsidR="00806220" w:rsidRDefault="00E94F49">
      <w:pPr>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附件：南召县客货邮融合发展扩面提质目标任务表</w:t>
      </w:r>
    </w:p>
    <w:p w:rsidR="00806220" w:rsidRDefault="00E94F49">
      <w:pPr>
        <w:spacing w:line="600" w:lineRule="exact"/>
        <w:rPr>
          <w:rFonts w:ascii="黑体" w:eastAsia="黑体" w:hAnsi="黑体" w:cs="黑体"/>
          <w:b/>
          <w:sz w:val="32"/>
          <w:szCs w:val="32"/>
        </w:rPr>
      </w:pPr>
      <w:r>
        <w:rPr>
          <w:rFonts w:ascii="仿宋_GB2312" w:eastAsia="仿宋_GB2312" w:hAnsi="仿宋_GB2312" w:cs="仿宋_GB2312" w:hint="eastAsia"/>
          <w:bCs/>
          <w:sz w:val="32"/>
          <w:szCs w:val="32"/>
        </w:rPr>
        <w:br w:type="page"/>
      </w:r>
      <w:r>
        <w:rPr>
          <w:rFonts w:ascii="黑体" w:eastAsia="黑体" w:hAnsi="黑体" w:cs="黑体" w:hint="eastAsia"/>
          <w:b/>
          <w:sz w:val="32"/>
          <w:szCs w:val="32"/>
        </w:rPr>
        <w:lastRenderedPageBreak/>
        <w:t>附件</w:t>
      </w:r>
    </w:p>
    <w:p w:rsidR="00806220" w:rsidRDefault="00E94F49">
      <w:pPr>
        <w:spacing w:line="600" w:lineRule="exact"/>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南召县客货邮融合发展扩面提质目标任务表</w:t>
      </w:r>
    </w:p>
    <w:tbl>
      <w:tblPr>
        <w:tblpPr w:leftFromText="180" w:rightFromText="180" w:vertAnchor="text" w:horzAnchor="page" w:tblpX="1374" w:tblpY="601"/>
        <w:tblOverlap w:val="never"/>
        <w:tblW w:w="9100" w:type="dxa"/>
        <w:tblLayout w:type="fixed"/>
        <w:tblCellMar>
          <w:left w:w="15" w:type="dxa"/>
          <w:right w:w="15" w:type="dxa"/>
        </w:tblCellMar>
        <w:tblLook w:val="04A0"/>
      </w:tblPr>
      <w:tblGrid>
        <w:gridCol w:w="1288"/>
        <w:gridCol w:w="1418"/>
        <w:gridCol w:w="1265"/>
        <w:gridCol w:w="1760"/>
        <w:gridCol w:w="2196"/>
        <w:gridCol w:w="1173"/>
      </w:tblGrid>
      <w:tr w:rsidR="00806220">
        <w:trPr>
          <w:trHeight w:val="1596"/>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top"/>
              <w:rPr>
                <w:rFonts w:ascii="仿宋_GB2312" w:eastAsia="仿宋_GB2312" w:hAnsi="仿宋_GB2312"/>
                <w:color w:val="000000"/>
                <w:sz w:val="28"/>
              </w:rPr>
            </w:pPr>
            <w:r>
              <w:rPr>
                <w:rFonts w:ascii="仿宋_GB2312" w:eastAsia="仿宋_GB2312" w:hAnsi="仿宋_GB2312"/>
                <w:color w:val="000000"/>
                <w:sz w:val="28"/>
              </w:rPr>
              <w:t>目  标</w:t>
            </w:r>
            <w:r>
              <w:rPr>
                <w:rFonts w:ascii="仿宋_GB2312" w:eastAsia="仿宋_GB2312" w:hAnsi="仿宋_GB2312"/>
                <w:color w:val="000000"/>
                <w:sz w:val="28"/>
              </w:rPr>
              <w:br/>
              <w:t>乡  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县寄递公共配送中心</w:t>
            </w:r>
            <w:r>
              <w:rPr>
                <w:rFonts w:ascii="仿宋_GB2312" w:eastAsia="仿宋_GB2312" w:hAnsi="仿宋_GB2312"/>
                <w:color w:val="000000"/>
                <w:sz w:val="28"/>
              </w:rPr>
              <w:br/>
              <w:t>（≥个）</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乡镇公共配送中心</w:t>
            </w:r>
            <w:r>
              <w:rPr>
                <w:rFonts w:ascii="仿宋_GB2312" w:eastAsia="仿宋_GB2312" w:hAnsi="仿宋_GB2312"/>
                <w:color w:val="000000"/>
                <w:sz w:val="28"/>
              </w:rPr>
              <w:br/>
              <w:t>（≥个）</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“一站式”村级寄递物流综合服务点</w:t>
            </w:r>
            <w:r>
              <w:rPr>
                <w:rFonts w:ascii="仿宋_GB2312" w:eastAsia="仿宋_GB2312" w:hAnsi="仿宋_GB2312"/>
                <w:color w:val="000000"/>
                <w:sz w:val="28"/>
              </w:rPr>
              <w:br/>
              <w:t>（≥个）</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pacing w:val="-10"/>
                <w:sz w:val="28"/>
              </w:rPr>
              <w:t>“一站式”村级寄递物流综合服务点融合邮件快件</w:t>
            </w:r>
            <w:r>
              <w:rPr>
                <w:rFonts w:ascii="仿宋_GB2312" w:eastAsia="仿宋_GB2312" w:hAnsi="仿宋_GB2312"/>
                <w:color w:val="000000"/>
                <w:sz w:val="28"/>
              </w:rPr>
              <w:br/>
              <w:t>（≥个）</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进村时效</w:t>
            </w:r>
            <w:r>
              <w:rPr>
                <w:rFonts w:ascii="仿宋_GB2312" w:eastAsia="仿宋_GB2312" w:hAnsi="仿宋_GB2312"/>
                <w:color w:val="000000"/>
                <w:sz w:val="28"/>
              </w:rPr>
              <w:br/>
            </w:r>
            <w:r>
              <w:rPr>
                <w:rFonts w:ascii="仿宋_GB2312" w:eastAsia="仿宋_GB2312" w:hAnsi="仿宋_GB2312" w:hint="eastAsia"/>
                <w:color w:val="000000"/>
                <w:sz w:val="28"/>
              </w:rPr>
              <w:t>(</w:t>
            </w:r>
            <w:r>
              <w:rPr>
                <w:rFonts w:ascii="仿宋_GB2312" w:eastAsia="仿宋_GB2312" w:hAnsi="仿宋_GB2312"/>
                <w:color w:val="000000"/>
                <w:sz w:val="28"/>
              </w:rPr>
              <w:t>≤小时</w:t>
            </w:r>
            <w:r>
              <w:rPr>
                <w:rFonts w:ascii="仿宋_GB2312" w:eastAsia="仿宋_GB2312" w:hAnsi="仿宋_GB2312" w:hint="eastAsia"/>
                <w:color w:val="000000"/>
                <w:sz w:val="28"/>
              </w:rPr>
              <w:t>)</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城郊乡</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hint="eastAsia"/>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留山镇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19</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小店乡</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21</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云阳镇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18</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皇后乡</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12</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太山庙乡</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17</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石门乡</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15</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南河店镇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22</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五朵镇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23</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白土岗镇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27</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板山坪镇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20</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乔端镇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16</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马市坪乡</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16</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13"/>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崔庄镇</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0</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23</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w:t>
            </w:r>
          </w:p>
        </w:tc>
      </w:tr>
      <w:tr w:rsidR="00806220">
        <w:trPr>
          <w:trHeight w:val="692"/>
        </w:trPr>
        <w:tc>
          <w:tcPr>
            <w:tcW w:w="128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合计</w:t>
            </w:r>
          </w:p>
        </w:tc>
        <w:tc>
          <w:tcPr>
            <w:tcW w:w="1418"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w:t>
            </w:r>
          </w:p>
        </w:tc>
        <w:tc>
          <w:tcPr>
            <w:tcW w:w="1265"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13</w:t>
            </w:r>
          </w:p>
        </w:tc>
        <w:tc>
          <w:tcPr>
            <w:tcW w:w="1760" w:type="dxa"/>
            <w:tcBorders>
              <w:top w:val="single" w:sz="4" w:space="0" w:color="000000"/>
              <w:left w:val="single" w:sz="4" w:space="0" w:color="000000"/>
              <w:bottom w:val="single" w:sz="4" w:space="0" w:color="000000"/>
              <w:right w:val="single" w:sz="4" w:space="0" w:color="000000"/>
            </w:tcBorders>
            <w:vAlign w:val="center"/>
          </w:tcPr>
          <w:p w:rsidR="00806220" w:rsidRDefault="00E94F49">
            <w:pPr>
              <w:autoSpaceDN w:val="0"/>
              <w:spacing w:line="320" w:lineRule="exact"/>
              <w:jc w:val="center"/>
              <w:textAlignment w:val="center"/>
              <w:rPr>
                <w:rFonts w:ascii="仿宋_GB2312" w:eastAsia="仿宋_GB2312" w:hAnsi="仿宋_GB2312"/>
                <w:color w:val="000000"/>
                <w:sz w:val="28"/>
              </w:rPr>
            </w:pPr>
            <w:r>
              <w:rPr>
                <w:rFonts w:ascii="仿宋_GB2312" w:eastAsia="仿宋_GB2312" w:hAnsi="仿宋_GB2312"/>
                <w:color w:val="000000"/>
                <w:sz w:val="28"/>
              </w:rPr>
              <w:t>249</w:t>
            </w:r>
          </w:p>
        </w:tc>
        <w:tc>
          <w:tcPr>
            <w:tcW w:w="2196" w:type="dxa"/>
            <w:tcBorders>
              <w:top w:val="single" w:sz="4" w:space="0" w:color="000000"/>
              <w:left w:val="single" w:sz="4" w:space="0" w:color="000000"/>
              <w:bottom w:val="single" w:sz="4" w:space="0" w:color="000000"/>
              <w:right w:val="single" w:sz="4" w:space="0" w:color="000000"/>
            </w:tcBorders>
            <w:vAlign w:val="center"/>
          </w:tcPr>
          <w:p w:rsidR="00806220" w:rsidRDefault="00806220">
            <w:pPr>
              <w:autoSpaceDN w:val="0"/>
              <w:spacing w:line="320" w:lineRule="exact"/>
              <w:jc w:val="center"/>
              <w:textAlignment w:val="bottom"/>
              <w:rPr>
                <w:rFonts w:ascii="宋体" w:hAnsi="宋体"/>
                <w:color w:val="000000"/>
                <w:sz w:val="24"/>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806220" w:rsidRDefault="00806220">
            <w:pPr>
              <w:autoSpaceDN w:val="0"/>
              <w:spacing w:line="320" w:lineRule="exact"/>
              <w:jc w:val="center"/>
              <w:textAlignment w:val="bottom"/>
              <w:rPr>
                <w:rFonts w:ascii="宋体" w:hAnsi="宋体"/>
                <w:color w:val="000000"/>
                <w:sz w:val="24"/>
              </w:rPr>
            </w:pPr>
          </w:p>
        </w:tc>
      </w:tr>
    </w:tbl>
    <w:p w:rsidR="00806220" w:rsidRDefault="00806220">
      <w:pPr>
        <w:spacing w:line="580" w:lineRule="exact"/>
        <w:jc w:val="left"/>
        <w:rPr>
          <w:rFonts w:ascii="仿宋_GB2312" w:eastAsia="仿宋_GB2312" w:hAnsi="仿宋_GB2312" w:cs="Times New Roman"/>
          <w:sz w:val="32"/>
          <w:szCs w:val="32"/>
        </w:rPr>
      </w:pPr>
    </w:p>
    <w:p w:rsidR="00806220" w:rsidRDefault="00E94F49">
      <w:pPr>
        <w:spacing w:line="580" w:lineRule="exact"/>
        <w:jc w:val="left"/>
        <w:rPr>
          <w:rFonts w:ascii="仿宋_GB2312" w:eastAsia="仿宋_GB2312" w:hAnsi="仿宋_GB2312" w:cs="Times New Roman"/>
          <w:sz w:val="32"/>
          <w:szCs w:val="32"/>
        </w:rPr>
      </w:pPr>
      <w:r>
        <w:rPr>
          <w:rFonts w:ascii="仿宋_GB2312" w:eastAsia="仿宋_GB2312" w:hAnsi="仿宋_GB2312" w:cs="Times New Roman"/>
          <w:sz w:val="32"/>
          <w:szCs w:val="32"/>
        </w:rPr>
        <w:br w:type="page"/>
      </w: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806220">
      <w:pPr>
        <w:spacing w:line="580" w:lineRule="exact"/>
        <w:jc w:val="left"/>
        <w:rPr>
          <w:rFonts w:ascii="仿宋_GB2312" w:eastAsia="仿宋_GB2312" w:hAnsi="仿宋_GB2312" w:cs="Times New Roman"/>
          <w:sz w:val="32"/>
          <w:szCs w:val="32"/>
        </w:rPr>
      </w:pPr>
    </w:p>
    <w:p w:rsidR="00806220" w:rsidRDefault="00E94F49">
      <w:pPr>
        <w:pBdr>
          <w:top w:val="single" w:sz="6" w:space="1" w:color="auto"/>
          <w:bottom w:val="single" w:sz="6" w:space="1" w:color="auto"/>
        </w:pBdr>
        <w:spacing w:line="580" w:lineRule="exact"/>
        <w:ind w:firstLineChars="100" w:firstLine="280"/>
        <w:rPr>
          <w:rFonts w:ascii="仿宋_GB2312" w:eastAsia="仿宋_GB2312" w:cs="Times New Roman"/>
          <w:sz w:val="28"/>
          <w:szCs w:val="28"/>
        </w:rPr>
      </w:pPr>
      <w:r>
        <w:rPr>
          <w:rFonts w:ascii="仿宋_GB2312" w:eastAsia="仿宋_GB2312" w:cs="仿宋_GB2312" w:hint="eastAsia"/>
          <w:sz w:val="28"/>
          <w:szCs w:val="28"/>
        </w:rPr>
        <w:t>抄送：县委办，县人大办，县政协办。</w:t>
      </w:r>
    </w:p>
    <w:p w:rsidR="00806220" w:rsidRDefault="00E94F49">
      <w:pPr>
        <w:pBdr>
          <w:bottom w:val="single" w:sz="6" w:space="2" w:color="auto"/>
          <w:between w:val="single" w:sz="6" w:space="1" w:color="auto"/>
        </w:pBdr>
        <w:spacing w:line="580" w:lineRule="exact"/>
        <w:ind w:firstLineChars="100" w:firstLine="280"/>
        <w:rPr>
          <w:rFonts w:ascii="仿宋_GB2312" w:eastAsia="仿宋_GB2312" w:hAnsi="??_GB2312" w:cs="Times New Roman"/>
          <w:kern w:val="0"/>
          <w:sz w:val="32"/>
          <w:szCs w:val="32"/>
        </w:rPr>
      </w:pPr>
      <w:r>
        <w:rPr>
          <w:rFonts w:ascii="仿宋_GB2312" w:eastAsia="仿宋_GB2312" w:cs="仿宋_GB2312" w:hint="eastAsia"/>
          <w:sz w:val="28"/>
          <w:szCs w:val="28"/>
        </w:rPr>
        <w:t>南召县人民政府办公室</w:t>
      </w:r>
      <w:r>
        <w:rPr>
          <w:rFonts w:ascii="仿宋_GB2312" w:eastAsia="仿宋_GB2312" w:cs="仿宋_GB2312"/>
          <w:sz w:val="28"/>
          <w:szCs w:val="28"/>
        </w:rPr>
        <w:t xml:space="preserve">                   202</w:t>
      </w:r>
      <w:r>
        <w:rPr>
          <w:rFonts w:ascii="仿宋_GB2312" w:eastAsia="仿宋_GB2312" w:cs="仿宋_GB2312" w:hint="eastAsia"/>
          <w:sz w:val="28"/>
          <w:szCs w:val="28"/>
        </w:rPr>
        <w:t>6年1月4日印发</w:t>
      </w:r>
    </w:p>
    <w:sectPr w:rsidR="00806220" w:rsidSect="00806220">
      <w:headerReference w:type="default" r:id="rId7"/>
      <w:footerReference w:type="default" r:id="rId8"/>
      <w:pgSz w:w="11906" w:h="16838"/>
      <w:pgMar w:top="2041" w:right="1588" w:bottom="1701" w:left="1758" w:header="851" w:footer="1304" w:gutter="0"/>
      <w:pgNumType w:fmt="numberInDash"/>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81A" w:rsidRDefault="00BA681A" w:rsidP="00806220">
      <w:r>
        <w:separator/>
      </w:r>
    </w:p>
  </w:endnote>
  <w:endnote w:type="continuationSeparator" w:id="0">
    <w:p w:rsidR="00BA681A" w:rsidRDefault="00BA681A" w:rsidP="00806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ngLiUfalt">
    <w:altName w:val="MingLiU-ExtB"/>
    <w:charset w:val="88"/>
    <w:family w:val="auto"/>
    <w:pitch w:val="default"/>
    <w:sig w:usb0="00000000" w:usb1="00000000" w:usb2="00000010" w:usb3="00000000" w:csb0="00100000"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20" w:rsidRDefault="00A76030">
    <w:pPr>
      <w:pStyle w:val="a5"/>
      <w:framePr w:wrap="around" w:vAnchor="text" w:hAnchor="margin" w:xAlign="outside" w:y="1"/>
      <w:rPr>
        <w:rStyle w:val="a8"/>
        <w:rFonts w:ascii="宋体" w:cs="Times New Roman"/>
        <w:sz w:val="28"/>
        <w:szCs w:val="28"/>
      </w:rPr>
    </w:pPr>
    <w:r>
      <w:rPr>
        <w:rFonts w:ascii="宋体" w:hAnsi="宋体" w:cs="宋体"/>
        <w:sz w:val="28"/>
        <w:szCs w:val="28"/>
      </w:rPr>
      <w:fldChar w:fldCharType="begin"/>
    </w:r>
    <w:r w:rsidR="00E94F49">
      <w:rPr>
        <w:rStyle w:val="a8"/>
        <w:rFonts w:ascii="宋体" w:hAnsi="宋体" w:cs="宋体"/>
        <w:sz w:val="28"/>
        <w:szCs w:val="28"/>
      </w:rPr>
      <w:instrText xml:space="preserve">PAGE  </w:instrText>
    </w:r>
    <w:r>
      <w:rPr>
        <w:rFonts w:ascii="宋体" w:hAnsi="宋体" w:cs="宋体"/>
        <w:sz w:val="28"/>
        <w:szCs w:val="28"/>
      </w:rPr>
      <w:fldChar w:fldCharType="separate"/>
    </w:r>
    <w:r w:rsidR="0015262D">
      <w:rPr>
        <w:rStyle w:val="a8"/>
        <w:rFonts w:ascii="宋体" w:hAnsi="宋体" w:cs="宋体"/>
        <w:noProof/>
        <w:sz w:val="28"/>
        <w:szCs w:val="28"/>
      </w:rPr>
      <w:t>- 1 -</w:t>
    </w:r>
    <w:r>
      <w:rPr>
        <w:rFonts w:ascii="宋体" w:hAnsi="宋体" w:cs="宋体"/>
        <w:sz w:val="28"/>
        <w:szCs w:val="28"/>
      </w:rPr>
      <w:fldChar w:fldCharType="end"/>
    </w:r>
  </w:p>
  <w:p w:rsidR="00806220" w:rsidRDefault="00A76030">
    <w:pPr>
      <w:pStyle w:val="a5"/>
      <w:ind w:right="360" w:firstLine="360"/>
      <w:rPr>
        <w:rFonts w:ascii="宋体" w:cs="Times New Roman"/>
        <w:sz w:val="28"/>
        <w:szCs w:val="28"/>
      </w:rPr>
    </w:pPr>
    <w:r w:rsidRPr="00A76030">
      <w:pict>
        <v:rect id="文本框 1" o:spid="_x0000_s2049" style="position:absolute;left:0;text-align:left;margin-left:0;margin-top:0;width:2in;height:2in;z-index:1;mso-wrap-style:none;mso-position-horizontal:center;mso-position-horizontal-relative:margin" o:preferrelative="t" filled="f" stroked="f">
          <v:textbox style="mso-fit-shape-to-text:t" inset="0,0,0,0">
            <w:txbxContent>
              <w:p w:rsidR="00806220" w:rsidRDefault="00806220">
                <w:pPr>
                  <w:rPr>
                    <w:rFonts w:cs="Times New Roman"/>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81A" w:rsidRDefault="00BA681A" w:rsidP="00806220">
      <w:r>
        <w:separator/>
      </w:r>
    </w:p>
  </w:footnote>
  <w:footnote w:type="continuationSeparator" w:id="0">
    <w:p w:rsidR="00BA681A" w:rsidRDefault="00BA681A" w:rsidP="00806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20" w:rsidRDefault="00806220">
    <w:pPr>
      <w:pStyle w:val="a6"/>
      <w:pBdr>
        <w:top w:val="none" w:sz="0" w:space="0" w:color="auto"/>
        <w:left w:val="none" w:sz="0" w:space="0" w:color="auto"/>
        <w:bottom w:val="none" w:sz="0" w:space="0" w:color="auto"/>
        <w:right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717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6220"/>
    <w:rsid w:val="0015262D"/>
    <w:rsid w:val="005C2A14"/>
    <w:rsid w:val="00806220"/>
    <w:rsid w:val="009268DE"/>
    <w:rsid w:val="00A76030"/>
    <w:rsid w:val="00A96C7C"/>
    <w:rsid w:val="00AE7191"/>
    <w:rsid w:val="00B42A21"/>
    <w:rsid w:val="00BA681A"/>
    <w:rsid w:val="00E94F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iPriority="99" w:unhideWhenUsed="0" w:qFormat="1"/>
    <w:lsdException w:name="footer" w:semiHidden="0" w:uiPriority="99"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99"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99" w:unhideWhenUsed="0" w:qFormat="1"/>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99"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semiHidden="0" w:uiPriority="99"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locked="1"/>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220"/>
    <w:pPr>
      <w:widowControl w:val="0"/>
      <w:jc w:val="both"/>
    </w:pPr>
    <w:rPr>
      <w:rFonts w:ascii="Calibri" w:hAnsi="Calibri" w:cs="Calibri"/>
      <w:kern w:val="2"/>
      <w:sz w:val="21"/>
      <w:szCs w:val="21"/>
    </w:rPr>
  </w:style>
  <w:style w:type="paragraph" w:styleId="1">
    <w:name w:val="heading 1"/>
    <w:basedOn w:val="a"/>
    <w:next w:val="a"/>
    <w:link w:val="1Char"/>
    <w:uiPriority w:val="99"/>
    <w:qFormat/>
    <w:locked/>
    <w:rsid w:val="00806220"/>
    <w:pPr>
      <w:jc w:val="left"/>
      <w:outlineLvl w:val="0"/>
    </w:pPr>
    <w:rPr>
      <w:rFonts w:ascii="宋体" w:hAnsi="宋体" w:cs="宋体"/>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unhideWhenUsed/>
    <w:qFormat/>
    <w:locked/>
    <w:rsid w:val="00806220"/>
    <w:pPr>
      <w:spacing w:after="120"/>
    </w:pPr>
  </w:style>
  <w:style w:type="paragraph" w:styleId="a4">
    <w:name w:val="Date"/>
    <w:basedOn w:val="a"/>
    <w:next w:val="a"/>
    <w:link w:val="Char"/>
    <w:uiPriority w:val="99"/>
    <w:qFormat/>
    <w:rsid w:val="00806220"/>
    <w:pPr>
      <w:ind w:leftChars="2500" w:left="100"/>
    </w:pPr>
  </w:style>
  <w:style w:type="paragraph" w:styleId="a5">
    <w:name w:val="footer"/>
    <w:basedOn w:val="a"/>
    <w:link w:val="Char0"/>
    <w:uiPriority w:val="99"/>
    <w:qFormat/>
    <w:rsid w:val="00806220"/>
    <w:pPr>
      <w:tabs>
        <w:tab w:val="center" w:pos="4153"/>
        <w:tab w:val="right" w:pos="8306"/>
      </w:tabs>
      <w:snapToGrid w:val="0"/>
      <w:jc w:val="left"/>
    </w:pPr>
    <w:rPr>
      <w:sz w:val="18"/>
      <w:szCs w:val="18"/>
    </w:rPr>
  </w:style>
  <w:style w:type="paragraph" w:styleId="a6">
    <w:name w:val="header"/>
    <w:basedOn w:val="a"/>
    <w:link w:val="Char1"/>
    <w:uiPriority w:val="99"/>
    <w:qFormat/>
    <w:rsid w:val="00806220"/>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7">
    <w:name w:val="Normal (Web)"/>
    <w:basedOn w:val="a"/>
    <w:uiPriority w:val="99"/>
    <w:qFormat/>
    <w:locked/>
    <w:rsid w:val="00806220"/>
    <w:pPr>
      <w:jc w:val="left"/>
    </w:pPr>
    <w:rPr>
      <w:kern w:val="0"/>
      <w:sz w:val="24"/>
      <w:szCs w:val="24"/>
    </w:rPr>
  </w:style>
  <w:style w:type="character" w:styleId="a8">
    <w:name w:val="page number"/>
    <w:basedOn w:val="a0"/>
    <w:uiPriority w:val="99"/>
    <w:qFormat/>
    <w:rsid w:val="00806220"/>
  </w:style>
  <w:style w:type="character" w:styleId="a9">
    <w:name w:val="Emphasis"/>
    <w:basedOn w:val="a0"/>
    <w:uiPriority w:val="99"/>
    <w:qFormat/>
    <w:locked/>
    <w:rsid w:val="00806220"/>
  </w:style>
  <w:style w:type="paragraph" w:customStyle="1" w:styleId="Other1">
    <w:name w:val="Other|1"/>
    <w:basedOn w:val="a"/>
    <w:uiPriority w:val="99"/>
    <w:qFormat/>
    <w:rsid w:val="00806220"/>
    <w:pPr>
      <w:jc w:val="center"/>
    </w:pPr>
    <w:rPr>
      <w:rFonts w:ascii="MingLiUfalt" w:eastAsia="MingLiUfalt" w:hAnsi="MingLiUfalt" w:cs="MingLiUfalt"/>
      <w:sz w:val="18"/>
      <w:szCs w:val="18"/>
      <w:lang w:val="zh-TW" w:eastAsia="zh-TW"/>
    </w:rPr>
  </w:style>
  <w:style w:type="paragraph" w:customStyle="1" w:styleId="Bodytext1">
    <w:name w:val="Body text|1"/>
    <w:basedOn w:val="a"/>
    <w:uiPriority w:val="99"/>
    <w:qFormat/>
    <w:rsid w:val="00806220"/>
    <w:pPr>
      <w:spacing w:line="461" w:lineRule="auto"/>
      <w:ind w:firstLine="400"/>
    </w:pPr>
    <w:rPr>
      <w:rFonts w:ascii="MingLiUfalt" w:eastAsia="MingLiUfalt" w:hAnsi="MingLiUfalt" w:cs="MingLiUfalt"/>
      <w:sz w:val="18"/>
      <w:szCs w:val="18"/>
      <w:lang w:val="zh-TW" w:eastAsia="zh-TW"/>
    </w:rPr>
  </w:style>
  <w:style w:type="character" w:customStyle="1" w:styleId="1Char">
    <w:name w:val="标题 1 Char"/>
    <w:basedOn w:val="a0"/>
    <w:link w:val="1"/>
    <w:uiPriority w:val="99"/>
    <w:rsid w:val="00806220"/>
    <w:rPr>
      <w:rFonts w:ascii="Calibri" w:hAnsi="Calibri" w:cs="Calibri"/>
      <w:b/>
      <w:bCs/>
      <w:kern w:val="44"/>
      <w:sz w:val="44"/>
      <w:szCs w:val="44"/>
    </w:rPr>
  </w:style>
  <w:style w:type="character" w:customStyle="1" w:styleId="Char">
    <w:name w:val="日期 Char"/>
    <w:basedOn w:val="a0"/>
    <w:link w:val="a4"/>
    <w:uiPriority w:val="99"/>
    <w:rsid w:val="00806220"/>
    <w:rPr>
      <w:rFonts w:ascii="Calibri" w:hAnsi="Calibri" w:cs="Calibri"/>
      <w:sz w:val="21"/>
      <w:szCs w:val="21"/>
    </w:rPr>
  </w:style>
  <w:style w:type="character" w:customStyle="1" w:styleId="Char0">
    <w:name w:val="页脚 Char"/>
    <w:basedOn w:val="a0"/>
    <w:link w:val="a5"/>
    <w:uiPriority w:val="99"/>
    <w:rsid w:val="00806220"/>
    <w:rPr>
      <w:rFonts w:ascii="Calibri" w:hAnsi="Calibri" w:cs="Calibri"/>
      <w:sz w:val="18"/>
      <w:szCs w:val="18"/>
    </w:rPr>
  </w:style>
  <w:style w:type="character" w:customStyle="1" w:styleId="Char1">
    <w:name w:val="页眉 Char"/>
    <w:basedOn w:val="a0"/>
    <w:link w:val="a6"/>
    <w:uiPriority w:val="99"/>
    <w:rsid w:val="00806220"/>
    <w:rPr>
      <w:rFonts w:ascii="Calibri" w:hAnsi="Calibri" w:cs="Calibri"/>
      <w:sz w:val="18"/>
      <w:szCs w:val="18"/>
    </w:rPr>
  </w:style>
  <w:style w:type="character" w:customStyle="1" w:styleId="sound1">
    <w:name w:val="sound1"/>
    <w:basedOn w:val="a0"/>
    <w:uiPriority w:val="99"/>
    <w:qFormat/>
    <w:rsid w:val="00806220"/>
    <w:rPr>
      <w:color w:val="auto"/>
      <w:spacing w:val="10"/>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659</Words>
  <Characters>3759</Characters>
  <Application>Microsoft Office Word</Application>
  <DocSecurity>0</DocSecurity>
  <Lines>31</Lines>
  <Paragraphs>8</Paragraphs>
  <ScaleCrop>false</ScaleCrop>
  <Company>微软中国</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召政办〔2018〕30号</dc:title>
  <dc:creator>Administrator</dc:creator>
  <cp:lastModifiedBy>Administrator</cp:lastModifiedBy>
  <cp:revision>3</cp:revision>
  <cp:lastPrinted>2026-01-04T09:03:00Z</cp:lastPrinted>
  <dcterms:created xsi:type="dcterms:W3CDTF">2018-11-09T01:09:00Z</dcterms:created>
  <dcterms:modified xsi:type="dcterms:W3CDTF">2026-06-02T07:56:00Z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TemplateDocerSaveRecord">
    <vt:lpwstr>eyJoZGlkIjoiMDczOGU4NTE0Y2NlYjQ2YjUwZmI3Mjk4ZDNiODFjYTQiLCJ1c2VySWQiOiI0Nzg2MjU2ODEifQ==</vt:lpwstr>
  </property>
  <property fmtid="{D5CDD505-2E9C-101B-9397-08002B2CF9AE}" pid="4" name="ICV">
    <vt:lpwstr>62D812F0062E461DA2515338288202C2_13</vt:lpwstr>
  </property>
</Properties>
</file>